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8FD24" w14:textId="3B3C911E" w:rsidR="00141B10" w:rsidRPr="00A3518B" w:rsidRDefault="00174E2E" w:rsidP="003E4B9A">
      <w:pPr>
        <w:pStyle w:val="Titre1"/>
        <w:jc w:val="center"/>
      </w:pPr>
      <w:r>
        <w:t xml:space="preserve">« l’imaginaire sociotechnique » des sites internet prescriptifs de fictions audiovisuelles. l’etude de la </w:t>
      </w:r>
      <w:r w:rsidRPr="00A3518B">
        <w:t xml:space="preserve"> "</w:t>
      </w:r>
      <w:r>
        <w:t xml:space="preserve">mise au </w:t>
      </w:r>
      <w:r w:rsidRPr="00A3518B">
        <w:t>travail du consommateur"</w:t>
      </w:r>
      <w:r>
        <w:t xml:space="preserve"> </w:t>
      </w:r>
      <w:r w:rsidRPr="00A3518B">
        <w:t>de</w:t>
      </w:r>
      <w:r>
        <w:t xml:space="preserve"> </w:t>
      </w:r>
      <w:r w:rsidRPr="00A3518B">
        <w:t>"</w:t>
      </w:r>
      <w:r w:rsidRPr="00DF688E">
        <w:t>Plus belle la vie</w:t>
      </w:r>
      <w:r w:rsidRPr="00A3518B">
        <w:t>"</w:t>
      </w:r>
    </w:p>
    <w:p w14:paraId="0CB428D2" w14:textId="77777777" w:rsidR="00141B10" w:rsidRDefault="00141B10" w:rsidP="00141B10">
      <w:pPr>
        <w:rPr>
          <w:b/>
        </w:rPr>
      </w:pPr>
    </w:p>
    <w:p w14:paraId="768EB27D" w14:textId="77777777" w:rsidR="00141B10" w:rsidRPr="0063472A" w:rsidRDefault="00141B10" w:rsidP="00141B10">
      <w:pPr>
        <w:rPr>
          <w:b/>
          <w:sz w:val="28"/>
          <w:szCs w:val="28"/>
        </w:rPr>
      </w:pPr>
      <w:r w:rsidRPr="0063472A">
        <w:rPr>
          <w:b/>
          <w:sz w:val="28"/>
          <w:szCs w:val="28"/>
        </w:rPr>
        <w:t>Daphné Duvernay</w:t>
      </w:r>
    </w:p>
    <w:p w14:paraId="5B625A12" w14:textId="77777777" w:rsidR="00141B10" w:rsidRPr="00DC01FE" w:rsidRDefault="00141B10" w:rsidP="00141B10">
      <w:pPr>
        <w:jc w:val="both"/>
      </w:pPr>
      <w:r w:rsidRPr="00DC01FE">
        <w:t>Maître de conférences en sciences de l'information et de la communication</w:t>
      </w:r>
    </w:p>
    <w:p w14:paraId="217074CC" w14:textId="77777777" w:rsidR="00F553CE" w:rsidRDefault="00F553CE" w:rsidP="00141B10">
      <w:pPr>
        <w:jc w:val="both"/>
      </w:pPr>
      <w:r>
        <w:t>Laboratoire I3M-Université de Nice Sofia-Antipolis et Université du</w:t>
      </w:r>
      <w:r w:rsidR="00141B10" w:rsidRPr="00DC01FE">
        <w:t xml:space="preserve"> Sud Toulon Var-avenue de l'unive</w:t>
      </w:r>
      <w:r w:rsidR="00141B10">
        <w:t>rsité-BP 20132-83957 La Garde Ce</w:t>
      </w:r>
      <w:r w:rsidR="00141B10" w:rsidRPr="00DC01FE">
        <w:t>dex</w:t>
      </w:r>
      <w:r w:rsidR="00141B10">
        <w:t xml:space="preserve">. </w:t>
      </w:r>
    </w:p>
    <w:p w14:paraId="67265DB2" w14:textId="723D77AB" w:rsidR="00141B10" w:rsidRPr="00DC01FE" w:rsidRDefault="00141B10" w:rsidP="00141B10">
      <w:pPr>
        <w:jc w:val="both"/>
      </w:pPr>
      <w:r w:rsidRPr="00DC01FE">
        <w:t>Courriel : duvernay@univ-tln.fr</w:t>
      </w:r>
    </w:p>
    <w:p w14:paraId="666B9438" w14:textId="364E8D0E" w:rsidR="00141B10" w:rsidRPr="00050C9E" w:rsidRDefault="00141B10" w:rsidP="00141B10">
      <w:pPr>
        <w:pStyle w:val="Titre1"/>
        <w:jc w:val="center"/>
      </w:pPr>
      <w:r w:rsidRPr="007460DA">
        <w:rPr>
          <w:sz w:val="22"/>
          <w:szCs w:val="22"/>
        </w:rPr>
        <w:br w:type="page"/>
      </w:r>
    </w:p>
    <w:p w14:paraId="7E8626FA" w14:textId="77777777" w:rsidR="009E0D5E" w:rsidRPr="00A3518B" w:rsidRDefault="009E0D5E" w:rsidP="009E0D5E">
      <w:pPr>
        <w:pStyle w:val="Titre1"/>
        <w:jc w:val="center"/>
      </w:pPr>
      <w:r>
        <w:lastRenderedPageBreak/>
        <w:t xml:space="preserve">« l’imaginaire sociotechnique » des sites internet prescriptifs de fictions audiovisuelles. l’etude de la </w:t>
      </w:r>
      <w:r w:rsidRPr="00A3518B">
        <w:t xml:space="preserve"> "</w:t>
      </w:r>
      <w:r>
        <w:t xml:space="preserve">mise au </w:t>
      </w:r>
      <w:r w:rsidRPr="00A3518B">
        <w:t>travail du consommateur"</w:t>
      </w:r>
      <w:r>
        <w:t xml:space="preserve"> </w:t>
      </w:r>
      <w:r w:rsidRPr="00A3518B">
        <w:t>de</w:t>
      </w:r>
      <w:r>
        <w:t xml:space="preserve"> </w:t>
      </w:r>
      <w:r w:rsidRPr="00A3518B">
        <w:t>"</w:t>
      </w:r>
      <w:r w:rsidRPr="00DF688E">
        <w:t>Plus belle la vie</w:t>
      </w:r>
      <w:r w:rsidRPr="00A3518B">
        <w:t>"</w:t>
      </w:r>
    </w:p>
    <w:p w14:paraId="48220F12" w14:textId="46C07D17" w:rsidR="00141B10" w:rsidRPr="00050C9E" w:rsidRDefault="00141B10" w:rsidP="00141B10">
      <w:pPr>
        <w:jc w:val="both"/>
      </w:pPr>
      <w:r w:rsidRPr="00050C9E">
        <w:t xml:space="preserve">Dans cette contribution, nous </w:t>
      </w:r>
      <w:r>
        <w:t>voulons montrer un accroissement du</w:t>
      </w:r>
      <w:r w:rsidRPr="00050C9E">
        <w:t xml:space="preserve"> pouvoir d'influence des séries télévisuelles par leur </w:t>
      </w:r>
      <w:r>
        <w:t>déclinaison</w:t>
      </w:r>
      <w:r w:rsidRPr="00050C9E">
        <w:t xml:space="preserve"> en un audiovisuel interactif sur l’internet. </w:t>
      </w:r>
      <w:r>
        <w:t>La forme de</w:t>
      </w:r>
      <w:r w:rsidRPr="00050C9E">
        <w:t xml:space="preserve"> pouvoir</w:t>
      </w:r>
      <w:r>
        <w:t xml:space="preserve"> étudiée sera celle, contributive et prescriptive,</w:t>
      </w:r>
      <w:r w:rsidRPr="00050C9E">
        <w:t xml:space="preserve"> des sites internet déployés par les équipes de production</w:t>
      </w:r>
      <w:r>
        <w:t xml:space="preserve">, dans une optique  de </w:t>
      </w:r>
      <w:proofErr w:type="spellStart"/>
      <w:r w:rsidRPr="002177AB">
        <w:rPr>
          <w:i/>
        </w:rPr>
        <w:t>crossmédia</w:t>
      </w:r>
      <w:proofErr w:type="spellEnd"/>
      <w:r>
        <w:rPr>
          <w:i/>
        </w:rPr>
        <w:t xml:space="preserve"> </w:t>
      </w:r>
      <w:r>
        <w:t>(</w:t>
      </w:r>
      <w:proofErr w:type="spellStart"/>
      <w:r>
        <w:t>Azémard</w:t>
      </w:r>
      <w:proofErr w:type="spellEnd"/>
      <w:r>
        <w:t xml:space="preserve">, 2013).  </w:t>
      </w:r>
      <w:r w:rsidRPr="00050C9E">
        <w:t xml:space="preserve">Plus spécifiquement, le concept de </w:t>
      </w:r>
      <w:r>
        <w:t>« </w:t>
      </w:r>
      <w:r w:rsidRPr="00050C9E">
        <w:t>travail du consommateur</w:t>
      </w:r>
      <w:r>
        <w:t> »</w:t>
      </w:r>
      <w:r w:rsidRPr="00050C9E">
        <w:t xml:space="preserve"> (</w:t>
      </w:r>
      <w:proofErr w:type="spellStart"/>
      <w:r w:rsidRPr="00050C9E">
        <w:t>Dujarier</w:t>
      </w:r>
      <w:proofErr w:type="spellEnd"/>
      <w:r w:rsidRPr="00050C9E">
        <w:t>, 2008), sera éclairant pour comprendre la volonté de faire participer un consommateur (ici téléspectateur-internaute) à l'élaboration d'un service.</w:t>
      </w:r>
      <w:r w:rsidR="00DE5148">
        <w:t xml:space="preserve"> </w:t>
      </w:r>
      <w:r w:rsidR="00DE5148" w:rsidRPr="00050C9E">
        <w:t xml:space="preserve">D'acteur, </w:t>
      </w:r>
      <w:r w:rsidR="00DE5148">
        <w:t>ce consommateur</w:t>
      </w:r>
      <w:r w:rsidR="00DE5148" w:rsidRPr="00050C9E">
        <w:t xml:space="preserve"> devient auteur, crée des contenus multimédias, commente et donne</w:t>
      </w:r>
      <w:r w:rsidR="00DE5148">
        <w:t xml:space="preserve"> son avis. Du « </w:t>
      </w:r>
      <w:proofErr w:type="spellStart"/>
      <w:r w:rsidR="00DE5148" w:rsidRPr="00050C9E">
        <w:t>consomm'acteur</w:t>
      </w:r>
      <w:proofErr w:type="spellEnd"/>
      <w:r w:rsidR="00DE5148">
        <w:t> »</w:t>
      </w:r>
      <w:r w:rsidR="00DE5148" w:rsidRPr="00050C9E">
        <w:t xml:space="preserve"> au </w:t>
      </w:r>
      <w:r w:rsidR="00DE5148">
        <w:t>« </w:t>
      </w:r>
      <w:proofErr w:type="spellStart"/>
      <w:r w:rsidR="00DE5148" w:rsidRPr="00050C9E">
        <w:t>consomm'auteur</w:t>
      </w:r>
      <w:proofErr w:type="spellEnd"/>
      <w:r w:rsidR="00DE5148">
        <w:t> »</w:t>
      </w:r>
      <w:r w:rsidR="00DE5148" w:rsidRPr="00050C9E">
        <w:t>, les frontières entre production et consommation de biens culturels se délitent.</w:t>
      </w:r>
    </w:p>
    <w:p w14:paraId="088EE166" w14:textId="4DF297BE" w:rsidR="00141B10" w:rsidRPr="00050C9E" w:rsidRDefault="00141B10" w:rsidP="00141B10">
      <w:pPr>
        <w:jc w:val="both"/>
      </w:pPr>
      <w:r w:rsidRPr="00050C9E">
        <w:t xml:space="preserve">Pour étayer notre propos, nous avons bâti une étude de cas </w:t>
      </w:r>
      <w:r>
        <w:t xml:space="preserve">centrée sur la refonte du site internet officiel </w:t>
      </w:r>
      <w:r w:rsidRPr="00050C9E">
        <w:t xml:space="preserve">de la fiction </w:t>
      </w:r>
      <w:r w:rsidRPr="00050C9E">
        <w:rPr>
          <w:i/>
        </w:rPr>
        <w:t>Plus belle la vie</w:t>
      </w:r>
      <w:r w:rsidRPr="00050C9E">
        <w:t xml:space="preserve">, couramment dénommée </w:t>
      </w:r>
      <w:r w:rsidRPr="00050C9E">
        <w:rPr>
          <w:i/>
        </w:rPr>
        <w:t>PBLV</w:t>
      </w:r>
      <w:r w:rsidRPr="00050C9E">
        <w:t xml:space="preserve"> (</w:t>
      </w:r>
      <w:hyperlink r:id="rId5" w:history="1">
        <w:r w:rsidRPr="00E31609">
          <w:rPr>
            <w:rStyle w:val="Lienhypertexte"/>
          </w:rPr>
          <w:t>www.plusbellelavie.fr</w:t>
        </w:r>
      </w:hyperlink>
      <w:r w:rsidRPr="00050C9E">
        <w:t>)</w:t>
      </w:r>
      <w:r>
        <w:t>, créé en 2008</w:t>
      </w:r>
      <w:r w:rsidRPr="00050C9E">
        <w:t xml:space="preserve">, </w:t>
      </w:r>
      <w:r>
        <w:t>en une version plus participative lancée en février 2012.</w:t>
      </w:r>
      <w:r w:rsidRPr="00050C9E">
        <w:t xml:space="preserve"> </w:t>
      </w:r>
      <w:r w:rsidRPr="00E31609">
        <w:t xml:space="preserve">Nos observations ont porté sur le visionnage des </w:t>
      </w:r>
      <w:r w:rsidR="001C63D5">
        <w:t>saisons 7, 8 et 9</w:t>
      </w:r>
      <w:r w:rsidRPr="00E31609">
        <w:t>, puisqu’elles sont concomitantes avec le lancement de la nouvelle version du site internet. Pour compléter nos analyses, dans une perspective diachronique, nous nous référons aux travaux de Bryon-</w:t>
      </w:r>
      <w:proofErr w:type="spellStart"/>
      <w:r w:rsidRPr="00E31609">
        <w:t>Portet</w:t>
      </w:r>
      <w:proofErr w:type="spellEnd"/>
      <w:r w:rsidRPr="00E31609">
        <w:t xml:space="preserve"> </w:t>
      </w:r>
      <w:r w:rsidR="0006555A">
        <w:t xml:space="preserve">ou encore Mille </w:t>
      </w:r>
      <w:r w:rsidRPr="00E31609">
        <w:t xml:space="preserve">(2011) qui intègrent, </w:t>
      </w:r>
      <w:r w:rsidR="00F22089">
        <w:t>entre autre</w:t>
      </w:r>
      <w:r w:rsidRPr="00E31609">
        <w:t xml:space="preserve">, les saisons 4, 5 et 6. L’analyse de la construction de la réalité au travers des choix scénaristiques nous permettra de mettre en évidence les facteurs-clés du succès de ce feuilleton. Nous </w:t>
      </w:r>
      <w:proofErr w:type="spellStart"/>
      <w:r w:rsidRPr="00E31609">
        <w:t>nous</w:t>
      </w:r>
      <w:proofErr w:type="spellEnd"/>
      <w:r w:rsidRPr="00E31609">
        <w:t xml:space="preserve"> sommes, en parallèle, focalisé sur le site internet officiel de </w:t>
      </w:r>
      <w:r w:rsidRPr="00E31609">
        <w:rPr>
          <w:i/>
        </w:rPr>
        <w:t>PBLV</w:t>
      </w:r>
      <w:r w:rsidRPr="00E31609">
        <w:t xml:space="preserve"> (www.plusbellelavie.fr) et ses liens sortants vers : des </w:t>
      </w:r>
      <w:proofErr w:type="spellStart"/>
      <w:r w:rsidRPr="00E31609">
        <w:t>micro-sites</w:t>
      </w:r>
      <w:proofErr w:type="spellEnd"/>
      <w:r w:rsidRPr="00E31609">
        <w:t xml:space="preserve"> (jeux, </w:t>
      </w:r>
      <w:proofErr w:type="spellStart"/>
      <w:r w:rsidRPr="00E31609">
        <w:t>webisode</w:t>
      </w:r>
      <w:proofErr w:type="spellEnd"/>
      <w:r w:rsidRPr="00E31609">
        <w:t xml:space="preserve">, site mobile), l’application pour tablette et </w:t>
      </w:r>
      <w:proofErr w:type="spellStart"/>
      <w:r w:rsidRPr="00E31609">
        <w:t>smartphone</w:t>
      </w:r>
      <w:proofErr w:type="spellEnd"/>
      <w:r w:rsidRPr="00E31609">
        <w:t xml:space="preserve"> « </w:t>
      </w:r>
      <w:r w:rsidRPr="00E31609">
        <w:rPr>
          <w:i/>
        </w:rPr>
        <w:t>PBLV Talk</w:t>
      </w:r>
      <w:r w:rsidRPr="00E31609">
        <w:t xml:space="preserve"> », les pages officielles de </w:t>
      </w:r>
      <w:r w:rsidRPr="00E31609">
        <w:rPr>
          <w:i/>
        </w:rPr>
        <w:t>Facebook</w:t>
      </w:r>
      <w:r w:rsidRPr="00E31609">
        <w:t xml:space="preserve"> et </w:t>
      </w:r>
      <w:proofErr w:type="spellStart"/>
      <w:r w:rsidRPr="00E31609">
        <w:rPr>
          <w:i/>
        </w:rPr>
        <w:t>Twitter</w:t>
      </w:r>
      <w:proofErr w:type="spellEnd"/>
      <w:r w:rsidRPr="00E31609">
        <w:t xml:space="preserve">, ainsi que le site du diffuseur, </w:t>
      </w:r>
      <w:r w:rsidRPr="00E31609">
        <w:rPr>
          <w:i/>
        </w:rPr>
        <w:t>France 3</w:t>
      </w:r>
      <w:r w:rsidRPr="00E31609">
        <w:t xml:space="preserve">. </w:t>
      </w:r>
      <w:r w:rsidRPr="00050C9E">
        <w:t>Ce choix sélectif s'explique par</w:t>
      </w:r>
      <w:r>
        <w:t xml:space="preserve">  </w:t>
      </w:r>
      <w:r w:rsidRPr="00050C9E">
        <w:t>le succès sans précédent de cette fiction française, réalisée pourtant à faible coût, comparativement à ses homologues américains, forgeant une « </w:t>
      </w:r>
      <w:proofErr w:type="spellStart"/>
      <w:r w:rsidRPr="00050C9E">
        <w:t>sériphilie</w:t>
      </w:r>
      <w:proofErr w:type="spellEnd"/>
      <w:r w:rsidRPr="00050C9E">
        <w:t xml:space="preserve"> à la française » (</w:t>
      </w:r>
      <w:proofErr w:type="spellStart"/>
      <w:r w:rsidRPr="00050C9E">
        <w:t>Donnat</w:t>
      </w:r>
      <w:proofErr w:type="spellEnd"/>
      <w:r w:rsidRPr="00050C9E">
        <w:t xml:space="preserve"> &amp; </w:t>
      </w:r>
      <w:proofErr w:type="gramStart"/>
      <w:r w:rsidRPr="00050C9E">
        <w:t>al.,</w:t>
      </w:r>
      <w:proofErr w:type="gramEnd"/>
      <w:r w:rsidRPr="00050C9E">
        <w:t xml:space="preserve"> 2011 : </w:t>
      </w:r>
      <w:r>
        <w:t xml:space="preserve">12-15) dont </w:t>
      </w:r>
      <w:r w:rsidRPr="00050C9E">
        <w:t xml:space="preserve">la typicité </w:t>
      </w:r>
      <w:r>
        <w:t>permet à cette série de</w:t>
      </w:r>
      <w:r w:rsidRPr="00050C9E">
        <w:t xml:space="preserve"> s’érige</w:t>
      </w:r>
      <w:r>
        <w:t>r</w:t>
      </w:r>
      <w:r w:rsidRPr="00050C9E">
        <w:t xml:space="preserve"> parmi les deux séries préférées des Français avec </w:t>
      </w:r>
      <w:r w:rsidRPr="00050C9E">
        <w:rPr>
          <w:i/>
        </w:rPr>
        <w:t>Prison break</w:t>
      </w:r>
      <w:r w:rsidRPr="00050C9E">
        <w:t xml:space="preserve">. En outre, alors que les autres séries en France sont majoritairement regardées par une audience de 15 à 30 ans, diplômée de l’enseignement supérieur, </w:t>
      </w:r>
      <w:r w:rsidRPr="00050C9E">
        <w:rPr>
          <w:i/>
        </w:rPr>
        <w:t>PBLV</w:t>
      </w:r>
      <w:r w:rsidRPr="00050C9E">
        <w:t xml:space="preserve"> est regardée par un public essentiellement féminin, de 15 à plus de 63 ans, issu des couches populaires (agriculteurs, employés, ouvriers). </w:t>
      </w:r>
      <w:r>
        <w:t xml:space="preserve">Cependant, au-delà de ce succès télévisuel qui réunit près de 5 millions de téléspectateurs chaque soir, nous retenons aussi cette fiction pour savoir si une diversification sur l’internet participatif en 2008 puis 2012, donc </w:t>
      </w:r>
      <w:r w:rsidRPr="000472C9">
        <w:rPr>
          <w:i/>
        </w:rPr>
        <w:t>a posteriori</w:t>
      </w:r>
      <w:r>
        <w:t xml:space="preserve"> du lancement de la série à la télévision en 2004, s’accompagne d’autant de succès et d’engouement. Ces évolutions successives permettent de suivre la progression dans la mise au travail de l’internaute-téléspectateur autour de trois hypothèses qui feront chacune l’objet d’une partie. </w:t>
      </w:r>
    </w:p>
    <w:p w14:paraId="6A280433" w14:textId="7719E2A4" w:rsidR="00B54C1E" w:rsidRDefault="00141B10" w:rsidP="000E3ECB">
      <w:pPr>
        <w:jc w:val="both"/>
      </w:pPr>
      <w:r w:rsidRPr="00050C9E">
        <w:t>Dans une première partie,</w:t>
      </w:r>
      <w:r>
        <w:t xml:space="preserve"> notre hypothèse sera de considérer que la diversification de </w:t>
      </w:r>
      <w:r w:rsidRPr="00DF32BA">
        <w:rPr>
          <w:i/>
        </w:rPr>
        <w:t>P</w:t>
      </w:r>
      <w:r>
        <w:rPr>
          <w:i/>
        </w:rPr>
        <w:t xml:space="preserve">lus </w:t>
      </w:r>
      <w:r w:rsidRPr="00DF32BA">
        <w:rPr>
          <w:i/>
        </w:rPr>
        <w:t>B</w:t>
      </w:r>
      <w:r>
        <w:rPr>
          <w:i/>
        </w:rPr>
        <w:t xml:space="preserve">elle </w:t>
      </w:r>
      <w:r w:rsidRPr="00DF32BA">
        <w:rPr>
          <w:i/>
        </w:rPr>
        <w:t>L</w:t>
      </w:r>
      <w:r>
        <w:rPr>
          <w:i/>
        </w:rPr>
        <w:t xml:space="preserve">a </w:t>
      </w:r>
      <w:r w:rsidRPr="00DF32BA">
        <w:rPr>
          <w:i/>
        </w:rPr>
        <w:t>V</w:t>
      </w:r>
      <w:r>
        <w:rPr>
          <w:i/>
        </w:rPr>
        <w:t>ie</w:t>
      </w:r>
      <w:r>
        <w:t xml:space="preserve"> sur l’internet et les réseaux sociaux, s’inscrit dans un « imaginaire sociotechnique » (</w:t>
      </w:r>
      <w:proofErr w:type="spellStart"/>
      <w:r>
        <w:t>Flichy</w:t>
      </w:r>
      <w:proofErr w:type="spellEnd"/>
      <w:r>
        <w:t>, 2001</w:t>
      </w:r>
      <w:r w:rsidR="00B54C1E">
        <w:t xml:space="preserve"> ; </w:t>
      </w:r>
      <w:proofErr w:type="spellStart"/>
      <w:r w:rsidR="00B54C1E">
        <w:t>Rebillard</w:t>
      </w:r>
      <w:proofErr w:type="spellEnd"/>
      <w:r w:rsidR="00B54C1E">
        <w:t>, 2011</w:t>
      </w:r>
      <w:r>
        <w:t xml:space="preserve">) des producteurs de la série, sensé mobiliser massivement le public, et conférer une forme de pouvoir d’action à ce nouvel ensemble audiovisuel interactif. </w:t>
      </w:r>
    </w:p>
    <w:p w14:paraId="3E3A6B8E" w14:textId="3A962D4B" w:rsidR="000E3ECB" w:rsidRDefault="000E3ECB" w:rsidP="000E3ECB">
      <w:pPr>
        <w:jc w:val="both"/>
      </w:pPr>
      <w:r w:rsidRPr="00E31609">
        <w:t xml:space="preserve">La </w:t>
      </w:r>
      <w:r>
        <w:t xml:space="preserve">présentation, en deuxième partie, </w:t>
      </w:r>
      <w:r w:rsidRPr="00E31609">
        <w:t xml:space="preserve">de </w:t>
      </w:r>
      <w:r w:rsidR="006B1037">
        <w:t>« </w:t>
      </w:r>
      <w:r w:rsidRPr="00E31609">
        <w:t>l'étude de cas</w:t>
      </w:r>
      <w:r w:rsidR="006B1037">
        <w:t xml:space="preserve"> instrumentale »</w:t>
      </w:r>
      <w:r w:rsidRPr="00E31609">
        <w:t xml:space="preserve"> </w:t>
      </w:r>
      <w:r w:rsidRPr="00E31609">
        <w:rPr>
          <w:i/>
        </w:rPr>
        <w:t>PBLV</w:t>
      </w:r>
      <w:r>
        <w:t xml:space="preserve">, </w:t>
      </w:r>
      <w:r w:rsidRPr="00E31609">
        <w:t>s'est faite selon la pratique précon</w:t>
      </w:r>
      <w:r w:rsidR="00997B1E">
        <w:t xml:space="preserve">isée par </w:t>
      </w:r>
      <w:proofErr w:type="spellStart"/>
      <w:r w:rsidR="00997B1E">
        <w:t>Mucchielli</w:t>
      </w:r>
      <w:proofErr w:type="spellEnd"/>
      <w:r w:rsidR="00997B1E">
        <w:t xml:space="preserve"> (1996</w:t>
      </w:r>
      <w:r w:rsidRPr="00E31609">
        <w:t xml:space="preserve">) en trois phases : la première phase consiste en la description du cas lui-même, à partir de laquelle on procède à une analyse de contenu </w:t>
      </w:r>
      <w:proofErr w:type="spellStart"/>
      <w:r w:rsidRPr="00E31609">
        <w:t>théorisante</w:t>
      </w:r>
      <w:proofErr w:type="spellEnd"/>
      <w:r w:rsidR="00997B1E">
        <w:t xml:space="preserve"> (</w:t>
      </w:r>
      <w:proofErr w:type="spellStart"/>
      <w:r w:rsidR="00997B1E">
        <w:t>Bardin</w:t>
      </w:r>
      <w:proofErr w:type="spellEnd"/>
      <w:r w:rsidR="00997B1E">
        <w:t>, 2007</w:t>
      </w:r>
      <w:r w:rsidR="00C75E35">
        <w:t xml:space="preserve"> ; </w:t>
      </w:r>
      <w:proofErr w:type="spellStart"/>
      <w:r w:rsidR="00C75E35">
        <w:t>Barats</w:t>
      </w:r>
      <w:proofErr w:type="spellEnd"/>
      <w:r w:rsidR="00C75E35">
        <w:t>, 2013</w:t>
      </w:r>
      <w:r w:rsidR="00997B1E">
        <w:t>)</w:t>
      </w:r>
      <w:r w:rsidRPr="00E31609">
        <w:t xml:space="preserve"> afin de monter en niveau d'abstraction, à partir d'une sélection des éléments utiles du cas.</w:t>
      </w:r>
      <w:r w:rsidRPr="009C6E49">
        <w:rPr>
          <w:color w:val="F79646"/>
        </w:rPr>
        <w:t xml:space="preserve"> </w:t>
      </w:r>
      <w:r>
        <w:t>Il s’agit d’une démarche déductive</w:t>
      </w:r>
      <w:r w:rsidRPr="00050C9E">
        <w:t xml:space="preserve"> où, à partir d'une sélection</w:t>
      </w:r>
      <w:r>
        <w:t xml:space="preserve"> </w:t>
      </w:r>
      <w:r w:rsidRPr="00050C9E">
        <w:t xml:space="preserve">de certains matériaux du cas, nous allons chercher à montrer la dimension explicative, confirmative, de modèles théoriques déjà construits par d'autres chercheurs. </w:t>
      </w:r>
    </w:p>
    <w:p w14:paraId="6C69B389" w14:textId="2A78A1D2" w:rsidR="00141B10" w:rsidRDefault="00141B10" w:rsidP="00141B10">
      <w:pPr>
        <w:jc w:val="both"/>
      </w:pPr>
      <w:r>
        <w:t>La troisième partie permet de tester la dernière hypothèse, si la transposition de la série sur l’internet confirme cette idéologie de la participation généralisée, favorisant une intensification de la mise au travail (</w:t>
      </w:r>
      <w:proofErr w:type="spellStart"/>
      <w:r>
        <w:t>Dujarier</w:t>
      </w:r>
      <w:proofErr w:type="spellEnd"/>
      <w:r>
        <w:t xml:space="preserve">, 2008) du téléspectateur par l’interactivité accrue. </w:t>
      </w:r>
      <w:r w:rsidR="007D15A5">
        <w:t>Ce</w:t>
      </w:r>
      <w:r w:rsidRPr="00050C9E">
        <w:t xml:space="preserve"> pouvoir prescriptif de </w:t>
      </w:r>
      <w:r>
        <w:t>« </w:t>
      </w:r>
      <w:r w:rsidRPr="00050C9E">
        <w:t xml:space="preserve">l'appel à </w:t>
      </w:r>
      <w:r>
        <w:t>coproduction collaborative » (</w:t>
      </w:r>
      <w:proofErr w:type="spellStart"/>
      <w:r w:rsidR="0087194F">
        <w:t>Stengers</w:t>
      </w:r>
      <w:proofErr w:type="spellEnd"/>
      <w:r w:rsidR="0087194F">
        <w:t xml:space="preserve">, Coutant, 2011 ; </w:t>
      </w:r>
      <w:proofErr w:type="spellStart"/>
      <w:r w:rsidR="0087194F">
        <w:t>Stengers</w:t>
      </w:r>
      <w:proofErr w:type="spellEnd"/>
      <w:r w:rsidR="0087194F">
        <w:t>, 2011</w:t>
      </w:r>
      <w:r>
        <w:t>)</w:t>
      </w:r>
      <w:r w:rsidRPr="00050C9E">
        <w:t xml:space="preserve"> que </w:t>
      </w:r>
      <w:r w:rsidRPr="00050C9E">
        <w:rPr>
          <w:i/>
        </w:rPr>
        <w:t>PBLV</w:t>
      </w:r>
      <w:r w:rsidRPr="00050C9E">
        <w:t xml:space="preserve"> met en </w:t>
      </w:r>
      <w:proofErr w:type="spellStart"/>
      <w:r w:rsidRPr="00050C9E">
        <w:t>oeuvre</w:t>
      </w:r>
      <w:proofErr w:type="spellEnd"/>
      <w:r w:rsidRPr="00050C9E">
        <w:t xml:space="preserve"> auprès des internautes, </w:t>
      </w:r>
      <w:r w:rsidR="007D15A5">
        <w:t>laisse émerger la figure du « </w:t>
      </w:r>
      <w:proofErr w:type="spellStart"/>
      <w:r w:rsidR="007D15A5">
        <w:t>prosumer</w:t>
      </w:r>
      <w:proofErr w:type="spellEnd"/>
      <w:r w:rsidR="007D15A5">
        <w:t> » (Beaudouin, 2011), associé</w:t>
      </w:r>
      <w:r w:rsidRPr="00050C9E">
        <w:t xml:space="preserve"> étroitement à la médiatisation des épisodes et à la commercialisation des produits dérivés de la série</w:t>
      </w:r>
      <w:r>
        <w:t xml:space="preserve">. </w:t>
      </w:r>
      <w:r w:rsidRPr="00050C9E">
        <w:t xml:space="preserve">La conclusion nous permettra de synthétiser et discuter </w:t>
      </w:r>
      <w:r>
        <w:t xml:space="preserve">l’ensemble des résultats obtenus. </w:t>
      </w:r>
    </w:p>
    <w:p w14:paraId="03FC930C" w14:textId="77777777" w:rsidR="00141B10" w:rsidRDefault="00141B10"/>
    <w:p w14:paraId="0BA1F6C3" w14:textId="77777777" w:rsidR="00141B10" w:rsidRPr="00050C9E" w:rsidRDefault="00141B10" w:rsidP="00141B10">
      <w:pPr>
        <w:pStyle w:val="Titre1"/>
        <w:jc w:val="both"/>
      </w:pPr>
      <w:bookmarkStart w:id="0" w:name="_Toc219886407"/>
      <w:bookmarkStart w:id="1" w:name="_Toc219886997"/>
      <w:bookmarkStart w:id="2" w:name="_Toc219887501"/>
      <w:r w:rsidRPr="00050C9E">
        <w:t>REFERENCES BIBLIOGRAPHIQUES :</w:t>
      </w:r>
      <w:bookmarkEnd w:id="0"/>
      <w:bookmarkEnd w:id="1"/>
      <w:bookmarkEnd w:id="2"/>
    </w:p>
    <w:p w14:paraId="62CE44D2" w14:textId="77777777" w:rsidR="00B5347C" w:rsidRPr="00F03E45" w:rsidRDefault="00B5347C" w:rsidP="00B5347C">
      <w:pPr>
        <w:jc w:val="both"/>
        <w:rPr>
          <w:sz w:val="22"/>
        </w:rPr>
      </w:pPr>
      <w:r w:rsidRPr="00F03E45">
        <w:rPr>
          <w:sz w:val="22"/>
        </w:rPr>
        <w:t>AZEMARD  Ghislaine (2013), </w:t>
      </w:r>
      <w:r w:rsidRPr="00C75E35">
        <w:rPr>
          <w:i/>
          <w:sz w:val="22"/>
        </w:rPr>
        <w:t xml:space="preserve">100 notions pour le </w:t>
      </w:r>
      <w:proofErr w:type="spellStart"/>
      <w:r w:rsidRPr="00C75E35">
        <w:rPr>
          <w:i/>
          <w:sz w:val="22"/>
        </w:rPr>
        <w:t>crossmédia</w:t>
      </w:r>
      <w:proofErr w:type="spellEnd"/>
      <w:r w:rsidRPr="00C75E35">
        <w:rPr>
          <w:i/>
          <w:sz w:val="22"/>
        </w:rPr>
        <w:t xml:space="preserve"> et le </w:t>
      </w:r>
      <w:proofErr w:type="spellStart"/>
      <w:r w:rsidRPr="00C75E35">
        <w:rPr>
          <w:i/>
          <w:sz w:val="22"/>
        </w:rPr>
        <w:t>transmédia</w:t>
      </w:r>
      <w:proofErr w:type="spellEnd"/>
      <w:r w:rsidRPr="00F03E45">
        <w:rPr>
          <w:sz w:val="22"/>
        </w:rPr>
        <w:t>, éditions de l’immatériel, 230 p.</w:t>
      </w:r>
    </w:p>
    <w:p w14:paraId="453379A3" w14:textId="77777777" w:rsidR="00B5347C" w:rsidRDefault="00B5347C" w:rsidP="00141B10">
      <w:pPr>
        <w:jc w:val="both"/>
        <w:rPr>
          <w:sz w:val="22"/>
        </w:rPr>
      </w:pPr>
    </w:p>
    <w:p w14:paraId="2E5460BA" w14:textId="26A161AB" w:rsidR="00C75E35" w:rsidRDefault="00C75E35" w:rsidP="00E72717">
      <w:pPr>
        <w:jc w:val="both"/>
        <w:rPr>
          <w:sz w:val="22"/>
        </w:rPr>
      </w:pPr>
      <w:r>
        <w:rPr>
          <w:sz w:val="22"/>
        </w:rPr>
        <w:t xml:space="preserve">BARATS Christine, (2013), </w:t>
      </w:r>
      <w:r w:rsidRPr="00C75E35">
        <w:rPr>
          <w:i/>
          <w:sz w:val="22"/>
        </w:rPr>
        <w:t>Manuel d’analyse du web</w:t>
      </w:r>
      <w:r>
        <w:rPr>
          <w:sz w:val="22"/>
        </w:rPr>
        <w:t>. Paris : Armand Colin, 259p.</w:t>
      </w:r>
    </w:p>
    <w:p w14:paraId="527E4AEF" w14:textId="77777777" w:rsidR="00E72717" w:rsidRPr="00F03E45" w:rsidRDefault="00E72717" w:rsidP="00E72717">
      <w:pPr>
        <w:jc w:val="both"/>
        <w:rPr>
          <w:sz w:val="22"/>
        </w:rPr>
      </w:pPr>
      <w:r w:rsidRPr="00F03E45">
        <w:rPr>
          <w:sz w:val="22"/>
        </w:rPr>
        <w:t xml:space="preserve">BARDIN Laurence, (2007), </w:t>
      </w:r>
      <w:r w:rsidRPr="00C75E35">
        <w:rPr>
          <w:i/>
          <w:sz w:val="22"/>
        </w:rPr>
        <w:t>L'analyse de contenu</w:t>
      </w:r>
      <w:r w:rsidRPr="00F03E45">
        <w:rPr>
          <w:sz w:val="22"/>
        </w:rPr>
        <w:t>, Paris : PUF, 291p.</w:t>
      </w:r>
    </w:p>
    <w:p w14:paraId="5480C67C" w14:textId="77777777" w:rsidR="0006555A" w:rsidRPr="00F03E45" w:rsidRDefault="0006555A" w:rsidP="0006555A">
      <w:pPr>
        <w:jc w:val="both"/>
        <w:rPr>
          <w:sz w:val="22"/>
        </w:rPr>
      </w:pPr>
      <w:r w:rsidRPr="00F03E45">
        <w:rPr>
          <w:sz w:val="22"/>
        </w:rPr>
        <w:t>BEAUDOUIN Valérie, (2011), « </w:t>
      </w:r>
      <w:proofErr w:type="spellStart"/>
      <w:r w:rsidRPr="00F03E45">
        <w:rPr>
          <w:sz w:val="22"/>
        </w:rPr>
        <w:t>Prosumer</w:t>
      </w:r>
      <w:proofErr w:type="spellEnd"/>
      <w:r w:rsidRPr="00F03E45">
        <w:rPr>
          <w:sz w:val="22"/>
        </w:rPr>
        <w:t xml:space="preserve"> », </w:t>
      </w:r>
      <w:r w:rsidRPr="00C75E35">
        <w:rPr>
          <w:i/>
          <w:sz w:val="22"/>
        </w:rPr>
        <w:t>Communications</w:t>
      </w:r>
      <w:r w:rsidRPr="00F03E45">
        <w:rPr>
          <w:sz w:val="22"/>
        </w:rPr>
        <w:t>, 88, pp.131-140</w:t>
      </w:r>
    </w:p>
    <w:p w14:paraId="19A3338A" w14:textId="77777777" w:rsidR="00141B10" w:rsidRPr="00F03E45" w:rsidRDefault="00141B10" w:rsidP="00141B10">
      <w:pPr>
        <w:jc w:val="both"/>
        <w:rPr>
          <w:sz w:val="22"/>
        </w:rPr>
      </w:pPr>
      <w:r w:rsidRPr="00F03E45">
        <w:rPr>
          <w:sz w:val="22"/>
        </w:rPr>
        <w:t xml:space="preserve">BRYON-PORTET Céline, (2011), « Les productions télévisées, genre oublié dans la construction de l’image d’un territoire ? L’exemple de </w:t>
      </w:r>
      <w:proofErr w:type="spellStart"/>
      <w:r w:rsidRPr="00F03E45">
        <w:rPr>
          <w:sz w:val="22"/>
        </w:rPr>
        <w:t>co</w:t>
      </w:r>
      <w:proofErr w:type="spellEnd"/>
      <w:r w:rsidRPr="00F03E45">
        <w:rPr>
          <w:sz w:val="22"/>
        </w:rPr>
        <w:t xml:space="preserve">-construction de l’image socioculturelle de la ville de Marseille par la série Plus belle la vie ». </w:t>
      </w:r>
      <w:r w:rsidRPr="00C75E35">
        <w:rPr>
          <w:i/>
          <w:sz w:val="22"/>
        </w:rPr>
        <w:t>Etudes de communication</w:t>
      </w:r>
      <w:r w:rsidRPr="00F03E45">
        <w:rPr>
          <w:sz w:val="22"/>
        </w:rPr>
        <w:t>, 37, pp.79-96.</w:t>
      </w:r>
    </w:p>
    <w:p w14:paraId="2632CE56" w14:textId="77777777" w:rsidR="00141B10" w:rsidRDefault="00141B10" w:rsidP="00141B10">
      <w:pPr>
        <w:jc w:val="both"/>
        <w:rPr>
          <w:sz w:val="22"/>
        </w:rPr>
      </w:pPr>
      <w:r w:rsidRPr="00F03E45">
        <w:rPr>
          <w:sz w:val="22"/>
        </w:rPr>
        <w:t xml:space="preserve">DONNAT Olivier, PASQUIER Dominique, (2011), « Présentation. Une </w:t>
      </w:r>
      <w:proofErr w:type="spellStart"/>
      <w:r w:rsidRPr="00F03E45">
        <w:rPr>
          <w:sz w:val="22"/>
        </w:rPr>
        <w:t>sériphilie</w:t>
      </w:r>
      <w:proofErr w:type="spellEnd"/>
      <w:r w:rsidRPr="00F03E45">
        <w:rPr>
          <w:sz w:val="22"/>
        </w:rPr>
        <w:t xml:space="preserve"> à la française », </w:t>
      </w:r>
      <w:r w:rsidRPr="00C75E35">
        <w:rPr>
          <w:i/>
          <w:sz w:val="22"/>
        </w:rPr>
        <w:t>Réseaux</w:t>
      </w:r>
      <w:r w:rsidRPr="00F03E45">
        <w:rPr>
          <w:sz w:val="22"/>
        </w:rPr>
        <w:t>, 165, pp.9-19.</w:t>
      </w:r>
    </w:p>
    <w:p w14:paraId="4D26F4B9" w14:textId="77777777" w:rsidR="00E72717" w:rsidRPr="00F03E45" w:rsidRDefault="00E72717" w:rsidP="00E72717">
      <w:pPr>
        <w:jc w:val="both"/>
        <w:rPr>
          <w:sz w:val="22"/>
        </w:rPr>
      </w:pPr>
      <w:r w:rsidRPr="00F03E45">
        <w:rPr>
          <w:sz w:val="22"/>
        </w:rPr>
        <w:t xml:space="preserve">DUJARIER Marie-Anne, (2008), </w:t>
      </w:r>
      <w:r w:rsidRPr="00C75E35">
        <w:rPr>
          <w:i/>
          <w:sz w:val="22"/>
        </w:rPr>
        <w:t xml:space="preserve">Le travail du consommateur : De </w:t>
      </w:r>
      <w:proofErr w:type="spellStart"/>
      <w:r w:rsidRPr="00C75E35">
        <w:rPr>
          <w:i/>
          <w:sz w:val="22"/>
        </w:rPr>
        <w:t>McDo</w:t>
      </w:r>
      <w:proofErr w:type="spellEnd"/>
      <w:r w:rsidRPr="00C75E35">
        <w:rPr>
          <w:i/>
          <w:sz w:val="22"/>
        </w:rPr>
        <w:t xml:space="preserve"> à eBay : comment nous coproduisons ce que nous achetons.</w:t>
      </w:r>
      <w:r w:rsidRPr="00F03E45">
        <w:rPr>
          <w:sz w:val="22"/>
        </w:rPr>
        <w:t xml:space="preserve"> Ed: La découverte, Paris, 246p.</w:t>
      </w:r>
    </w:p>
    <w:p w14:paraId="383DB926" w14:textId="77777777" w:rsidR="00141B10" w:rsidRPr="00F03E45" w:rsidRDefault="00141B10" w:rsidP="00141B10">
      <w:pPr>
        <w:jc w:val="both"/>
        <w:rPr>
          <w:sz w:val="22"/>
        </w:rPr>
      </w:pPr>
      <w:r w:rsidRPr="00F03E45">
        <w:rPr>
          <w:sz w:val="22"/>
        </w:rPr>
        <w:t xml:space="preserve">FLICHY Patrice, (2001), « La place de l’imaginaire dans l’action technique. Le cas de l’internet ». </w:t>
      </w:r>
      <w:r w:rsidRPr="00C75E35">
        <w:rPr>
          <w:i/>
          <w:sz w:val="22"/>
        </w:rPr>
        <w:t>Réseaux</w:t>
      </w:r>
      <w:r w:rsidRPr="00F03E45">
        <w:rPr>
          <w:sz w:val="22"/>
        </w:rPr>
        <w:t>, n°109, 2001, pp.53-73.</w:t>
      </w:r>
    </w:p>
    <w:p w14:paraId="295506FF" w14:textId="77777777" w:rsidR="00141B10" w:rsidRDefault="00141B10" w:rsidP="00141B10">
      <w:pPr>
        <w:jc w:val="both"/>
        <w:rPr>
          <w:sz w:val="22"/>
        </w:rPr>
      </w:pPr>
      <w:r w:rsidRPr="00F03E45">
        <w:rPr>
          <w:sz w:val="22"/>
        </w:rPr>
        <w:t xml:space="preserve">MILLE Muriel, (2011), « Rendre l’incroyable quotidien. Fabrication de la vraisemblance dans Plus belle la vie ». </w:t>
      </w:r>
      <w:r w:rsidRPr="00C75E35">
        <w:rPr>
          <w:i/>
          <w:sz w:val="22"/>
        </w:rPr>
        <w:t>Réseaux</w:t>
      </w:r>
      <w:r w:rsidRPr="00F03E45">
        <w:rPr>
          <w:sz w:val="22"/>
        </w:rPr>
        <w:t>, 165, pp.54-81.</w:t>
      </w:r>
    </w:p>
    <w:p w14:paraId="1741B8A8" w14:textId="77777777" w:rsidR="00E72717" w:rsidRPr="00F03E45" w:rsidRDefault="00E72717" w:rsidP="00E72717">
      <w:pPr>
        <w:jc w:val="both"/>
        <w:rPr>
          <w:sz w:val="22"/>
        </w:rPr>
      </w:pPr>
      <w:r w:rsidRPr="00F03E45">
        <w:rPr>
          <w:sz w:val="22"/>
        </w:rPr>
        <w:t xml:space="preserve">MUCCHIELLI Alex, (1996), </w:t>
      </w:r>
      <w:r w:rsidRPr="00C75E35">
        <w:rPr>
          <w:i/>
          <w:sz w:val="22"/>
        </w:rPr>
        <w:t>Dictionnaire des méthodes qualitatives en sciences humaines et sociales</w:t>
      </w:r>
      <w:r w:rsidRPr="00F03E45">
        <w:rPr>
          <w:sz w:val="22"/>
        </w:rPr>
        <w:t>, Paris : Armand Colin, 275p.</w:t>
      </w:r>
    </w:p>
    <w:p w14:paraId="1DC33042" w14:textId="677C4CF6" w:rsidR="00141B10" w:rsidRPr="00F03E45" w:rsidRDefault="0019408F" w:rsidP="00141B10">
      <w:pPr>
        <w:jc w:val="both"/>
        <w:rPr>
          <w:sz w:val="22"/>
        </w:rPr>
      </w:pPr>
      <w:r>
        <w:rPr>
          <w:sz w:val="22"/>
        </w:rPr>
        <w:t>REBILLARD Franck, (2011</w:t>
      </w:r>
      <w:r w:rsidR="00C75E35">
        <w:rPr>
          <w:sz w:val="22"/>
        </w:rPr>
        <w:t>)</w:t>
      </w:r>
      <w:r w:rsidR="00141B10" w:rsidRPr="00F03E45">
        <w:rPr>
          <w:sz w:val="22"/>
        </w:rPr>
        <w:t xml:space="preserve">, « Du web 2.0 au web² : fortunes et infortunes des discours d'accompagnement des réseaux </w:t>
      </w:r>
      <w:proofErr w:type="spellStart"/>
      <w:r w:rsidR="00141B10" w:rsidRPr="00F03E45">
        <w:rPr>
          <w:sz w:val="22"/>
        </w:rPr>
        <w:t>socionumériques</w:t>
      </w:r>
      <w:proofErr w:type="spellEnd"/>
      <w:r w:rsidR="00141B10" w:rsidRPr="00F03E45">
        <w:rPr>
          <w:sz w:val="22"/>
        </w:rPr>
        <w:t xml:space="preserve"> », </w:t>
      </w:r>
      <w:r w:rsidR="00141B10" w:rsidRPr="00C75E35">
        <w:rPr>
          <w:i/>
          <w:sz w:val="22"/>
        </w:rPr>
        <w:t>Hermès</w:t>
      </w:r>
      <w:r w:rsidR="00141B10" w:rsidRPr="00F03E45">
        <w:rPr>
          <w:sz w:val="22"/>
        </w:rPr>
        <w:t>, n°59, Ed : CNRS</w:t>
      </w:r>
    </w:p>
    <w:p w14:paraId="1905956E" w14:textId="77777777" w:rsidR="00141B10" w:rsidRPr="00F03E45" w:rsidRDefault="00141B10" w:rsidP="00141B10">
      <w:pPr>
        <w:jc w:val="both"/>
        <w:rPr>
          <w:sz w:val="22"/>
        </w:rPr>
      </w:pPr>
      <w:r w:rsidRPr="00F03E45">
        <w:rPr>
          <w:sz w:val="22"/>
        </w:rPr>
        <w:t>STENGER Thomas, (201</w:t>
      </w:r>
      <w:bookmarkStart w:id="3" w:name="_GoBack"/>
      <w:bookmarkEnd w:id="3"/>
      <w:r w:rsidRPr="00F03E45">
        <w:rPr>
          <w:sz w:val="22"/>
        </w:rPr>
        <w:t xml:space="preserve">1), « La prescription de l'action collective ». </w:t>
      </w:r>
      <w:r w:rsidRPr="00C75E35">
        <w:rPr>
          <w:i/>
          <w:sz w:val="22"/>
        </w:rPr>
        <w:t>Hermès</w:t>
      </w:r>
      <w:r w:rsidRPr="00F03E45">
        <w:rPr>
          <w:sz w:val="22"/>
        </w:rPr>
        <w:t xml:space="preserve"> n°59, Ed : CNRS, p.127-133</w:t>
      </w:r>
    </w:p>
    <w:p w14:paraId="064267F8" w14:textId="77777777" w:rsidR="00141B10" w:rsidRDefault="00141B10" w:rsidP="00141B10">
      <w:pPr>
        <w:jc w:val="both"/>
        <w:rPr>
          <w:sz w:val="22"/>
        </w:rPr>
      </w:pPr>
      <w:r w:rsidRPr="00F03E45">
        <w:rPr>
          <w:sz w:val="22"/>
        </w:rPr>
        <w:t>STENGER Thomas, COUTANT Alexandre, (</w:t>
      </w:r>
      <w:proofErr w:type="spellStart"/>
      <w:r w:rsidRPr="00F03E45">
        <w:rPr>
          <w:sz w:val="22"/>
        </w:rPr>
        <w:t>dir</w:t>
      </w:r>
      <w:proofErr w:type="spellEnd"/>
      <w:r w:rsidRPr="00F03E45">
        <w:rPr>
          <w:sz w:val="22"/>
        </w:rPr>
        <w:t xml:space="preserve">) (2011) « Ces réseaux numériques dits sociaux. Introduction ». </w:t>
      </w:r>
      <w:r w:rsidRPr="00C75E35">
        <w:rPr>
          <w:i/>
          <w:sz w:val="22"/>
        </w:rPr>
        <w:t>Hermès</w:t>
      </w:r>
      <w:r w:rsidRPr="00F03E45">
        <w:rPr>
          <w:sz w:val="22"/>
        </w:rPr>
        <w:t xml:space="preserve"> n°59, Ed : CNRS, 253p</w:t>
      </w:r>
      <w:bookmarkStart w:id="4" w:name="_Toc219886409"/>
      <w:bookmarkStart w:id="5" w:name="_Toc219886999"/>
      <w:bookmarkStart w:id="6" w:name="_Toc219887503"/>
    </w:p>
    <w:bookmarkEnd w:id="4"/>
    <w:bookmarkEnd w:id="5"/>
    <w:bookmarkEnd w:id="6"/>
    <w:p w14:paraId="2B36467B" w14:textId="60637395" w:rsidR="00141B10" w:rsidRPr="00F03E45" w:rsidRDefault="00141B10" w:rsidP="00141B10">
      <w:pPr>
        <w:jc w:val="both"/>
        <w:rPr>
          <w:sz w:val="22"/>
        </w:rPr>
      </w:pPr>
    </w:p>
    <w:p w14:paraId="258824D3" w14:textId="77777777" w:rsidR="00141B10" w:rsidRPr="009F44E8" w:rsidRDefault="00141B10" w:rsidP="00141B10">
      <w:pPr>
        <w:jc w:val="both"/>
        <w:rPr>
          <w:b/>
          <w:sz w:val="22"/>
        </w:rPr>
      </w:pPr>
      <w:bookmarkStart w:id="7" w:name="_Toc219886413"/>
      <w:bookmarkStart w:id="8" w:name="_Toc219887003"/>
      <w:bookmarkStart w:id="9" w:name="_Toc219887507"/>
      <w:r w:rsidRPr="009F44E8">
        <w:rPr>
          <w:b/>
          <w:sz w:val="22"/>
        </w:rPr>
        <w:t>Webographie indicative :</w:t>
      </w:r>
      <w:bookmarkEnd w:id="7"/>
      <w:bookmarkEnd w:id="8"/>
      <w:bookmarkEnd w:id="9"/>
    </w:p>
    <w:p w14:paraId="72F98392" w14:textId="77777777" w:rsidR="00141B10" w:rsidRPr="00F03E45" w:rsidRDefault="00141B10" w:rsidP="00141B10">
      <w:pPr>
        <w:jc w:val="both"/>
        <w:rPr>
          <w:sz w:val="22"/>
        </w:rPr>
      </w:pPr>
      <w:r w:rsidRPr="00F03E45">
        <w:rPr>
          <w:sz w:val="22"/>
        </w:rPr>
        <w:t xml:space="preserve">Site internet de la société de production </w:t>
      </w:r>
      <w:proofErr w:type="spellStart"/>
      <w:r w:rsidRPr="00F03E45">
        <w:rPr>
          <w:sz w:val="22"/>
        </w:rPr>
        <w:t>Telfrance</w:t>
      </w:r>
      <w:proofErr w:type="spellEnd"/>
      <w:r w:rsidRPr="00F03E45">
        <w:rPr>
          <w:sz w:val="22"/>
        </w:rPr>
        <w:t> : http://www.telfrance.fr/</w:t>
      </w:r>
    </w:p>
    <w:p w14:paraId="69397ED5" w14:textId="77777777" w:rsidR="00141B10" w:rsidRPr="00F03E45" w:rsidRDefault="00141B10" w:rsidP="00141B10">
      <w:pPr>
        <w:jc w:val="both"/>
        <w:rPr>
          <w:sz w:val="22"/>
        </w:rPr>
      </w:pPr>
      <w:r w:rsidRPr="00F03E45">
        <w:rPr>
          <w:sz w:val="22"/>
        </w:rPr>
        <w:t>Site internet de Plus belle la vie : http://www.plusbellelavie.fr/</w:t>
      </w:r>
    </w:p>
    <w:p w14:paraId="5DC3A8E3" w14:textId="77777777" w:rsidR="00141B10" w:rsidRPr="00F03E45" w:rsidRDefault="00141B10" w:rsidP="00141B10">
      <w:pPr>
        <w:jc w:val="both"/>
        <w:rPr>
          <w:sz w:val="22"/>
        </w:rPr>
      </w:pPr>
      <w:r w:rsidRPr="00F03E45">
        <w:rPr>
          <w:sz w:val="22"/>
        </w:rPr>
        <w:t>Page Facebook de PBLV : http://www.Facebook.com/plusbellelavie</w:t>
      </w:r>
    </w:p>
    <w:p w14:paraId="363301CE" w14:textId="77777777" w:rsidR="00141B10" w:rsidRPr="00F03E45" w:rsidRDefault="00141B10" w:rsidP="00141B10">
      <w:pPr>
        <w:jc w:val="both"/>
        <w:rPr>
          <w:sz w:val="22"/>
        </w:rPr>
      </w:pPr>
      <w:r w:rsidRPr="00F03E45">
        <w:rPr>
          <w:sz w:val="22"/>
        </w:rPr>
        <w:t xml:space="preserve">Page </w:t>
      </w:r>
      <w:proofErr w:type="spellStart"/>
      <w:r w:rsidRPr="00F03E45">
        <w:rPr>
          <w:sz w:val="22"/>
        </w:rPr>
        <w:t>Twitter</w:t>
      </w:r>
      <w:proofErr w:type="spellEnd"/>
      <w:r w:rsidRPr="00F03E45">
        <w:rPr>
          <w:sz w:val="22"/>
        </w:rPr>
        <w:t xml:space="preserve"> de PBLV : https://Twitter.com/#!/PBLVofficiel</w:t>
      </w:r>
    </w:p>
    <w:p w14:paraId="5DD9008B" w14:textId="77777777" w:rsidR="00141B10" w:rsidRPr="00F03E45" w:rsidRDefault="00141B10" w:rsidP="00141B10">
      <w:pPr>
        <w:jc w:val="both"/>
        <w:rPr>
          <w:sz w:val="22"/>
        </w:rPr>
      </w:pPr>
      <w:r w:rsidRPr="00F03E45">
        <w:rPr>
          <w:sz w:val="22"/>
        </w:rPr>
        <w:t xml:space="preserve">Le lien internet pour promouvoir et télécharger l'application </w:t>
      </w:r>
      <w:proofErr w:type="spellStart"/>
      <w:r w:rsidRPr="00F03E45">
        <w:rPr>
          <w:sz w:val="22"/>
        </w:rPr>
        <w:t>smartphone</w:t>
      </w:r>
      <w:proofErr w:type="spellEnd"/>
      <w:r w:rsidRPr="00F03E45">
        <w:rPr>
          <w:sz w:val="22"/>
        </w:rPr>
        <w:t xml:space="preserve"> « PBLV Talk » : http://www.plusbellelavie.fr/telecharger-l-application-pour-votre-telephone</w:t>
      </w:r>
    </w:p>
    <w:p w14:paraId="68F6C3FD" w14:textId="77777777" w:rsidR="00141B10" w:rsidRPr="00F03E45" w:rsidRDefault="00141B10" w:rsidP="00141B10">
      <w:pPr>
        <w:jc w:val="both"/>
        <w:rPr>
          <w:sz w:val="22"/>
        </w:rPr>
      </w:pPr>
      <w:r w:rsidRPr="00F03E45">
        <w:rPr>
          <w:sz w:val="22"/>
        </w:rPr>
        <w:t>La version mobile du site internet officiel (m.plusbellelavie.fr/</w:t>
      </w:r>
      <w:proofErr w:type="spellStart"/>
      <w:r w:rsidRPr="00F03E45">
        <w:rPr>
          <w:sz w:val="22"/>
        </w:rPr>
        <w:t>home.php</w:t>
      </w:r>
      <w:proofErr w:type="spellEnd"/>
      <w:r w:rsidRPr="00F03E45">
        <w:rPr>
          <w:sz w:val="22"/>
        </w:rPr>
        <w:t>)</w:t>
      </w:r>
    </w:p>
    <w:p w14:paraId="5DC9A58A" w14:textId="77777777" w:rsidR="00141B10" w:rsidRPr="00F03E45" w:rsidRDefault="00141B10" w:rsidP="00141B10">
      <w:pPr>
        <w:jc w:val="both"/>
        <w:rPr>
          <w:sz w:val="22"/>
        </w:rPr>
      </w:pPr>
      <w:r w:rsidRPr="00F03E45">
        <w:rPr>
          <w:sz w:val="22"/>
        </w:rPr>
        <w:t>Le jeu « Plus belle la vie » (www.plusbellelavie-games.fr)</w:t>
      </w:r>
    </w:p>
    <w:p w14:paraId="1BE076CD" w14:textId="77777777" w:rsidR="00141B10" w:rsidRPr="00F03E45" w:rsidRDefault="00141B10" w:rsidP="00141B10">
      <w:pPr>
        <w:jc w:val="both"/>
        <w:rPr>
          <w:sz w:val="22"/>
        </w:rPr>
      </w:pPr>
      <w:r w:rsidRPr="00F03E45">
        <w:rPr>
          <w:sz w:val="22"/>
        </w:rPr>
        <w:t>Le jeu « Plus belle la langue française » (www.plusbellelalanguefrançaise.fr)</w:t>
      </w:r>
    </w:p>
    <w:p w14:paraId="0D3A5DE2" w14:textId="77777777" w:rsidR="00141B10" w:rsidRPr="00F03E45" w:rsidRDefault="00141B10" w:rsidP="00141B10">
      <w:pPr>
        <w:jc w:val="both"/>
        <w:rPr>
          <w:sz w:val="22"/>
        </w:rPr>
      </w:pPr>
      <w:r w:rsidRPr="00F03E45">
        <w:rPr>
          <w:sz w:val="22"/>
        </w:rPr>
        <w:t>La page Facebook de « Plus belle la langue française » (http://www.facebook.com/pages/Plus-Belle-la-Langue-Francaise)</w:t>
      </w:r>
    </w:p>
    <w:p w14:paraId="13305E8D" w14:textId="77777777" w:rsidR="00141B10" w:rsidRDefault="00141B10" w:rsidP="00141B10">
      <w:pPr>
        <w:jc w:val="both"/>
        <w:rPr>
          <w:bCs/>
          <w:sz w:val="22"/>
        </w:rPr>
      </w:pPr>
      <w:r w:rsidRPr="00F03E45">
        <w:rPr>
          <w:sz w:val="22"/>
        </w:rPr>
        <w:t>Le site PBLV d</w:t>
      </w:r>
      <w:r w:rsidRPr="00F03E45">
        <w:rPr>
          <w:bCs/>
          <w:sz w:val="22"/>
        </w:rPr>
        <w:t xml:space="preserve">e la chaîne TV </w:t>
      </w:r>
      <w:r w:rsidRPr="00F03E45">
        <w:rPr>
          <w:bCs/>
          <w:i/>
          <w:sz w:val="22"/>
        </w:rPr>
        <w:t>France 3</w:t>
      </w:r>
      <w:r w:rsidRPr="00F03E45">
        <w:rPr>
          <w:bCs/>
          <w:sz w:val="22"/>
        </w:rPr>
        <w:t xml:space="preserve"> (</w:t>
      </w:r>
      <w:hyperlink r:id="rId6" w:history="1">
        <w:r w:rsidRPr="009F44E8">
          <w:rPr>
            <w:rStyle w:val="Lienhypertexte"/>
            <w:bCs/>
            <w:sz w:val="22"/>
          </w:rPr>
          <w:t>www.plus-belle-la-vie.france3.fr</w:t>
        </w:r>
      </w:hyperlink>
      <w:r w:rsidRPr="00F03E45">
        <w:rPr>
          <w:bCs/>
          <w:sz w:val="22"/>
        </w:rPr>
        <w:t>)</w:t>
      </w:r>
    </w:p>
    <w:p w14:paraId="41A80A95" w14:textId="77777777" w:rsidR="00141B10" w:rsidRDefault="00141B10" w:rsidP="00141B10">
      <w:pPr>
        <w:jc w:val="both"/>
        <w:rPr>
          <w:sz w:val="22"/>
        </w:rPr>
      </w:pPr>
      <w:r w:rsidRPr="00BA1349">
        <w:rPr>
          <w:bCs/>
          <w:sz w:val="22"/>
        </w:rPr>
        <w:t xml:space="preserve">Site internet d’Orange </w:t>
      </w:r>
      <w:proofErr w:type="spellStart"/>
      <w:r w:rsidRPr="00BA1349">
        <w:rPr>
          <w:bCs/>
          <w:sz w:val="22"/>
        </w:rPr>
        <w:t>Transmedia</w:t>
      </w:r>
      <w:proofErr w:type="spellEnd"/>
      <w:r w:rsidRPr="00BA1349">
        <w:rPr>
          <w:bCs/>
          <w:sz w:val="22"/>
        </w:rPr>
        <w:t xml:space="preserve"> </w:t>
      </w:r>
      <w:proofErr w:type="spellStart"/>
      <w:r w:rsidRPr="00BA1349">
        <w:rPr>
          <w:bCs/>
          <w:sz w:val="22"/>
        </w:rPr>
        <w:t>Lab</w:t>
      </w:r>
      <w:proofErr w:type="spellEnd"/>
      <w:r w:rsidRPr="00BA1349">
        <w:rPr>
          <w:bCs/>
          <w:sz w:val="22"/>
        </w:rPr>
        <w:t xml:space="preserve"> (</w:t>
      </w:r>
      <w:r>
        <w:rPr>
          <w:sz w:val="22"/>
        </w:rPr>
        <w:t>http://www.transmedialab.org</w:t>
      </w:r>
      <w:r w:rsidRPr="00BA1349">
        <w:rPr>
          <w:sz w:val="22"/>
        </w:rPr>
        <w:t>)</w:t>
      </w:r>
    </w:p>
    <w:p w14:paraId="66AADB48" w14:textId="3D432EA2" w:rsidR="00141B10" w:rsidRDefault="00141B10" w:rsidP="00141B10"/>
    <w:sectPr w:rsidR="00141B10" w:rsidSect="001A4C8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10"/>
    <w:rsid w:val="0006555A"/>
    <w:rsid w:val="000E3ECB"/>
    <w:rsid w:val="00141B10"/>
    <w:rsid w:val="00174E2E"/>
    <w:rsid w:val="0019408F"/>
    <w:rsid w:val="001A4C85"/>
    <w:rsid w:val="001C63D5"/>
    <w:rsid w:val="003D323F"/>
    <w:rsid w:val="003E4B9A"/>
    <w:rsid w:val="004670A7"/>
    <w:rsid w:val="004A04DC"/>
    <w:rsid w:val="0056603D"/>
    <w:rsid w:val="006B1037"/>
    <w:rsid w:val="007D15A5"/>
    <w:rsid w:val="0087194F"/>
    <w:rsid w:val="008A68F0"/>
    <w:rsid w:val="00997B1E"/>
    <w:rsid w:val="009E0D5E"/>
    <w:rsid w:val="00A37E83"/>
    <w:rsid w:val="00B5347C"/>
    <w:rsid w:val="00B54C1E"/>
    <w:rsid w:val="00C75E35"/>
    <w:rsid w:val="00DE5148"/>
    <w:rsid w:val="00E72717"/>
    <w:rsid w:val="00E72869"/>
    <w:rsid w:val="00F22089"/>
    <w:rsid w:val="00F553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0C6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1B10"/>
    <w:pPr>
      <w:spacing w:before="120" w:after="120" w:line="360" w:lineRule="auto"/>
    </w:pPr>
    <w:rPr>
      <w:rFonts w:ascii="Times New Roman" w:eastAsia="Calibri" w:hAnsi="Times New Roman" w:cs="Arial"/>
      <w:szCs w:val="22"/>
      <w:lang w:eastAsia="en-US"/>
    </w:rPr>
  </w:style>
  <w:style w:type="paragraph" w:styleId="Titre1">
    <w:name w:val="heading 1"/>
    <w:basedOn w:val="Normal"/>
    <w:next w:val="Normal"/>
    <w:link w:val="Titre1Car"/>
    <w:uiPriority w:val="9"/>
    <w:qFormat/>
    <w:rsid w:val="00141B10"/>
    <w:pPr>
      <w:keepNext/>
      <w:spacing w:before="240" w:after="240"/>
      <w:outlineLvl w:val="0"/>
    </w:pPr>
    <w:rPr>
      <w:rFonts w:eastAsia="ＭＳ ゴシック" w:cs="Times New Roman"/>
      <w:b/>
      <w:bCs/>
      <w:smallCaps/>
      <w:kern w:val="32"/>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1B10"/>
    <w:rPr>
      <w:rFonts w:ascii="Times New Roman" w:eastAsia="ＭＳ ゴシック" w:hAnsi="Times New Roman" w:cs="Times New Roman"/>
      <w:b/>
      <w:bCs/>
      <w:smallCaps/>
      <w:kern w:val="32"/>
      <w:sz w:val="28"/>
      <w:szCs w:val="28"/>
      <w:lang w:eastAsia="en-US"/>
    </w:rPr>
  </w:style>
  <w:style w:type="character" w:styleId="Lienhypertexte">
    <w:name w:val="Hyperlink"/>
    <w:rsid w:val="00141B1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1B10"/>
    <w:pPr>
      <w:spacing w:before="120" w:after="120" w:line="360" w:lineRule="auto"/>
    </w:pPr>
    <w:rPr>
      <w:rFonts w:ascii="Times New Roman" w:eastAsia="Calibri" w:hAnsi="Times New Roman" w:cs="Arial"/>
      <w:szCs w:val="22"/>
      <w:lang w:eastAsia="en-US"/>
    </w:rPr>
  </w:style>
  <w:style w:type="paragraph" w:styleId="Titre1">
    <w:name w:val="heading 1"/>
    <w:basedOn w:val="Normal"/>
    <w:next w:val="Normal"/>
    <w:link w:val="Titre1Car"/>
    <w:uiPriority w:val="9"/>
    <w:qFormat/>
    <w:rsid w:val="00141B10"/>
    <w:pPr>
      <w:keepNext/>
      <w:spacing w:before="240" w:after="240"/>
      <w:outlineLvl w:val="0"/>
    </w:pPr>
    <w:rPr>
      <w:rFonts w:eastAsia="ＭＳ ゴシック" w:cs="Times New Roman"/>
      <w:b/>
      <w:bCs/>
      <w:smallCaps/>
      <w:kern w:val="32"/>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1B10"/>
    <w:rPr>
      <w:rFonts w:ascii="Times New Roman" w:eastAsia="ＭＳ ゴシック" w:hAnsi="Times New Roman" w:cs="Times New Roman"/>
      <w:b/>
      <w:bCs/>
      <w:smallCaps/>
      <w:kern w:val="32"/>
      <w:sz w:val="28"/>
      <w:szCs w:val="28"/>
      <w:lang w:eastAsia="en-US"/>
    </w:rPr>
  </w:style>
  <w:style w:type="character" w:styleId="Lienhypertexte">
    <w:name w:val="Hyperlink"/>
    <w:rsid w:val="00141B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lusbellelavie.fr" TargetMode="External"/><Relationship Id="rId6" Type="http://schemas.openxmlformats.org/officeDocument/2006/relationships/hyperlink" Target="http://www.plus-belle-la-vie.france3.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1247</Words>
  <Characters>6862</Characters>
  <Application>Microsoft Macintosh Word</Application>
  <DocSecurity>0</DocSecurity>
  <Lines>57</Lines>
  <Paragraphs>16</Paragraphs>
  <ScaleCrop>false</ScaleCrop>
  <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daphné</dc:creator>
  <cp:keywords/>
  <dc:description/>
  <cp:lastModifiedBy>daphné</cp:lastModifiedBy>
  <cp:revision>24</cp:revision>
  <dcterms:created xsi:type="dcterms:W3CDTF">2014-01-03T17:01:00Z</dcterms:created>
  <dcterms:modified xsi:type="dcterms:W3CDTF">2014-01-05T12:16:00Z</dcterms:modified>
</cp:coreProperties>
</file>