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1795" w:rsidRDefault="00F774CD" w:rsidP="00D71425">
      <w:pPr>
        <w:spacing w:before="900" w:after="600"/>
        <w:ind w:firstLine="0"/>
      </w:pPr>
      <w:r>
        <w:rPr>
          <w:b/>
          <w:sz w:val="32"/>
        </w:rPr>
        <w:t xml:space="preserve"> </w:t>
      </w:r>
      <w:r w:rsidR="00F663D5">
        <w:rPr>
          <w:b/>
          <w:sz w:val="32"/>
        </w:rPr>
        <w:t xml:space="preserve"> </w:t>
      </w:r>
    </w:p>
    <w:p w:rsidR="00211795" w:rsidRPr="00870EDB" w:rsidRDefault="00870EDB" w:rsidP="00D71425">
      <w:pPr>
        <w:spacing w:before="900" w:after="600"/>
        <w:ind w:left="432" w:hanging="430"/>
        <w:rPr>
          <w:b/>
          <w:sz w:val="36"/>
          <w:szCs w:val="36"/>
        </w:rPr>
      </w:pPr>
      <w:r w:rsidRPr="00870EDB">
        <w:rPr>
          <w:b/>
          <w:sz w:val="36"/>
          <w:szCs w:val="36"/>
        </w:rPr>
        <w:t>Le numérique au musée : itinéraire d’une nécessaire et fructueuse dépossession.</w:t>
      </w:r>
    </w:p>
    <w:p w:rsidR="00211795" w:rsidRDefault="00F663D5">
      <w:r>
        <w:t>Nous nous proposons de prolonger ici le tandem de l’enseignant–chercheur et du conservateur de musée  formé lors d’un travail antérieur</w:t>
      </w:r>
      <w:r>
        <w:rPr>
          <w:vertAlign w:val="superscript"/>
        </w:rPr>
        <w:footnoteReference w:id="1"/>
      </w:r>
      <w:r>
        <w:t xml:space="preserve"> sur une relecture du </w:t>
      </w:r>
      <w:r>
        <w:rPr>
          <w:i/>
        </w:rPr>
        <w:t>Musée Imaginaire</w:t>
      </w:r>
      <w:r>
        <w:t xml:space="preserve"> de Malraux, considéré dans son rapport à la photographie comme une prémonition des apports du numérique au musée.</w:t>
      </w:r>
      <w:r w:rsidR="00726F12">
        <w:t xml:space="preserve"> </w:t>
      </w:r>
    </w:p>
    <w:p w:rsidR="00726F12" w:rsidRDefault="00726F12" w:rsidP="00726F12">
      <w:r>
        <w:t xml:space="preserve">Le numérique pourrait-il être une réponse à l’incomplétude  du musée et par quelles médiations ? </w:t>
      </w:r>
    </w:p>
    <w:p w:rsidR="00211795" w:rsidRDefault="00726F12" w:rsidP="00726F12">
      <w:pPr>
        <w:ind w:firstLine="0"/>
      </w:pPr>
      <w:r>
        <w:t xml:space="preserve">     Dans la perspective  de creuser</w:t>
      </w:r>
      <w:r w:rsidR="00F663D5">
        <w:t xml:space="preserve"> les pistes su</w:t>
      </w:r>
      <w:r>
        <w:t>r lesquelles avait   débouché cette</w:t>
      </w:r>
      <w:r w:rsidR="00F663D5">
        <w:t xml:space="preserve"> recherch</w:t>
      </w:r>
      <w:r w:rsidR="003B5F50">
        <w:t>e antérieure</w:t>
      </w:r>
      <w:r>
        <w:t xml:space="preserve">, de valider les hypothèses présentées ici, </w:t>
      </w:r>
      <w:r w:rsidR="00F663D5">
        <w:t> </w:t>
      </w:r>
      <w:r>
        <w:t>nous mènerons plusieurs études de terrain</w:t>
      </w:r>
      <w:r w:rsidR="00F774CD">
        <w:t xml:space="preserve"> qui vont du musée possédant des collections permanentes à des espaces d’expositions temporaires: musée du Louvre, m</w:t>
      </w:r>
      <w:r>
        <w:t xml:space="preserve">usée du Quai Branly, </w:t>
      </w:r>
      <w:r w:rsidR="00F774CD">
        <w:t>musée des Arts décoratifs, Palais de Tokyo,  La Maison Rouge</w:t>
      </w:r>
      <w:r w:rsidR="003F3142">
        <w:t>, Musée d'ethnographie de Neufchâtel (MEN).</w:t>
      </w:r>
      <w:r w:rsidR="00F774CD">
        <w:t>.</w:t>
      </w:r>
      <w:r>
        <w:t xml:space="preserve">. </w:t>
      </w:r>
      <w:r w:rsidR="00F663D5">
        <w:t xml:space="preserve"> </w:t>
      </w:r>
    </w:p>
    <w:p w:rsidR="00211795" w:rsidRDefault="00211795"/>
    <w:p w:rsidR="00855C55" w:rsidRDefault="00D71425" w:rsidP="00D71425">
      <w:pPr>
        <w:ind w:firstLine="432"/>
      </w:pPr>
      <w:r>
        <w:t>Après avoir redessiné les aspects majeurs de cette incomplétude du musée, c</w:t>
      </w:r>
      <w:r w:rsidR="00F663D5">
        <w:t>’est donc l’idée de repartir du constat d’une dépossession originelle fructueu</w:t>
      </w:r>
      <w:r>
        <w:t xml:space="preserve">se – en trois actes- </w:t>
      </w:r>
      <w:r w:rsidR="00F663D5">
        <w:t>dont procèderait  la constitution de tout musée, qui nous intéresse, pour comprendre comment le numérique peut s’en nourrir et enrichir notre ap</w:t>
      </w:r>
      <w:r w:rsidR="00855C55">
        <w:t xml:space="preserve">proche du musée ou la pervertir si l’on considère  cette incomplétude originelle comme moteur de notre imaginaire et comme source d’un mystère essentiel que le musée doit  préserver. </w:t>
      </w:r>
    </w:p>
    <w:p w:rsidR="00211795" w:rsidRDefault="00855C55" w:rsidP="00D71425">
      <w:pPr>
        <w:ind w:firstLine="432"/>
      </w:pPr>
      <w:r>
        <w:t>Personne plus que Malraux peut-être n’a été sensible au choc artistique, n’</w:t>
      </w:r>
      <w:r w:rsidR="007E0AC0">
        <w:t xml:space="preserve">a exprimé la force, la richesse et la jouissance </w:t>
      </w:r>
      <w:r>
        <w:t>d’une confrontation sans médiation à l’œuvre d’art. Mettre en présence, donner l’opportunité à chacun de cet</w:t>
      </w:r>
      <w:r w:rsidR="00F774CD">
        <w:t>te rencontre sensible</w:t>
      </w:r>
      <w:r>
        <w:t xml:space="preserve"> avant que d’</w:t>
      </w:r>
      <w:r w:rsidR="00152BD5">
        <w:t>être intellectuel</w:t>
      </w:r>
      <w:r w:rsidR="00F774CD">
        <w:t>le</w:t>
      </w:r>
      <w:r w:rsidR="00152BD5">
        <w:t>, telle est la fonction que Malraux donne d’abord au premier ministère des Affaires culturelles.</w:t>
      </w:r>
      <w:r>
        <w:t xml:space="preserve"> </w:t>
      </w:r>
    </w:p>
    <w:p w:rsidR="00152BD5" w:rsidRDefault="00B76722" w:rsidP="00D71425">
      <w:pPr>
        <w:ind w:firstLine="432"/>
      </w:pPr>
      <w:r>
        <w:t>Certes, l’essence</w:t>
      </w:r>
      <w:r w:rsidR="00855C55">
        <w:t xml:space="preserve"> du </w:t>
      </w:r>
      <w:r w:rsidR="00855C55" w:rsidRPr="00855C55">
        <w:rPr>
          <w:i/>
        </w:rPr>
        <w:t>Musée imaginaire</w:t>
      </w:r>
      <w:r w:rsidR="00152BD5">
        <w:rPr>
          <w:i/>
        </w:rPr>
        <w:t>,</w:t>
      </w:r>
      <w:r w:rsidR="00855C55" w:rsidRPr="00855C55">
        <w:rPr>
          <w:i/>
        </w:rPr>
        <w:t xml:space="preserve"> </w:t>
      </w:r>
      <w:r w:rsidR="00152BD5">
        <w:t xml:space="preserve"> que nous considérons ici  pour le penser en relation avec l’ère numérique, est de d</w:t>
      </w:r>
      <w:r>
        <w:t>écrire un</w:t>
      </w:r>
      <w:r w:rsidR="00152BD5">
        <w:t xml:space="preserve"> bouleversement du rapport à l’art qu’introduit  la photographie en permettant  à chacun de construire un itinéraire de rapprochements, de confrontations, par-delà les civilisations</w:t>
      </w:r>
      <w:r>
        <w:t xml:space="preserve">, les lieux </w:t>
      </w:r>
      <w:r w:rsidR="00152BD5">
        <w:t xml:space="preserve"> et  les époques.</w:t>
      </w:r>
      <w:r>
        <w:t xml:space="preserve"> « </w:t>
      </w:r>
      <w:r w:rsidR="007E0AC0">
        <w:t>L</w:t>
      </w:r>
      <w:r>
        <w:t>a vie particulière qu’apporte à l’œuvre son agrandissement prend toute sa force dans le dialogue que permet, qu’appelle le rapprochement des photographies »</w:t>
      </w:r>
      <w:r w:rsidR="00AB0D33">
        <w:rPr>
          <w:rStyle w:val="Appelnotedebasdep"/>
        </w:rPr>
        <w:footnoteReference w:id="2"/>
      </w:r>
      <w:r>
        <w:t xml:space="preserve">. </w:t>
      </w:r>
    </w:p>
    <w:p w:rsidR="007E0AC0" w:rsidRDefault="00152BD5" w:rsidP="00D71425">
      <w:pPr>
        <w:ind w:firstLine="432"/>
      </w:pPr>
      <w:r>
        <w:t>Cependant, ce musée imaginaire, propre à cha</w:t>
      </w:r>
      <w:r w:rsidR="007E0AC0">
        <w:t xml:space="preserve">cun et dont Malraux </w:t>
      </w:r>
      <w:r>
        <w:t xml:space="preserve"> nous donne un exemple personnel, illustré et magistral,  déborde largement la richesse des collections prisonnières </w:t>
      </w:r>
      <w:r w:rsidR="00B76722">
        <w:t xml:space="preserve">du « cimetière » </w:t>
      </w:r>
      <w:r>
        <w:t>d</w:t>
      </w:r>
      <w:r w:rsidR="00754CE8">
        <w:t>es salles des musées</w:t>
      </w:r>
      <w:r>
        <w:t xml:space="preserve"> car il convoque  </w:t>
      </w:r>
      <w:r w:rsidR="00EE4FEB">
        <w:t xml:space="preserve">par la photographie </w:t>
      </w:r>
      <w:r>
        <w:t>tou</w:t>
      </w:r>
      <w:r w:rsidR="00AB0D33">
        <w:t>tes les œuvres d’art</w:t>
      </w:r>
      <w:r w:rsidR="00855C55" w:rsidRPr="00855C55">
        <w:t xml:space="preserve"> </w:t>
      </w:r>
      <w:r w:rsidR="00A746B5">
        <w:t xml:space="preserve">à travers le monde. </w:t>
      </w:r>
    </w:p>
    <w:p w:rsidR="00A746B5" w:rsidRDefault="00906693" w:rsidP="00D71425">
      <w:pPr>
        <w:ind w:firstLine="432"/>
      </w:pPr>
      <w:r>
        <w:lastRenderedPageBreak/>
        <w:t>Mais</w:t>
      </w:r>
      <w:r w:rsidR="00A746B5">
        <w:t xml:space="preserve"> ces confrontations </w:t>
      </w:r>
      <w:r w:rsidR="007E0AC0">
        <w:t xml:space="preserve">qu’il opère </w:t>
      </w:r>
      <w:r w:rsidR="00A746B5">
        <w:t>sont encore référencées et chaque œuvre est identifiée</w:t>
      </w:r>
      <w:r w:rsidR="00AB0D33">
        <w:t xml:space="preserve"> même si la préoccupation de son inscription dans l’histoire  est concurrencée par l’importance </w:t>
      </w:r>
      <w:r w:rsidR="00A746B5">
        <w:t xml:space="preserve"> acc</w:t>
      </w:r>
      <w:r w:rsidR="00AB0D33">
        <w:t>or</w:t>
      </w:r>
      <w:r w:rsidR="007E0AC0">
        <w:t xml:space="preserve">dée à la rencontre </w:t>
      </w:r>
      <w:r>
        <w:t xml:space="preserve">esthétique et </w:t>
      </w:r>
      <w:r w:rsidR="007E0AC0">
        <w:t xml:space="preserve">sensible entre les </w:t>
      </w:r>
      <w:r w:rsidR="00A746B5">
        <w:t xml:space="preserve"> différentes formes de beauté</w:t>
      </w:r>
      <w:r w:rsidR="00AB0D33">
        <w:t>s</w:t>
      </w:r>
      <w:r w:rsidR="00A746B5">
        <w:t xml:space="preserve">. </w:t>
      </w:r>
    </w:p>
    <w:p w:rsidR="00A746B5" w:rsidRDefault="00A746B5" w:rsidP="00D71425">
      <w:pPr>
        <w:ind w:firstLine="432"/>
      </w:pPr>
      <w:r>
        <w:t>A</w:t>
      </w:r>
      <w:r w:rsidR="00AB0D33">
        <w:t>ujourd’hui, a</w:t>
      </w:r>
      <w:r>
        <w:t>vec la circulation des images numér</w:t>
      </w:r>
      <w:r w:rsidR="005146CD">
        <w:t xml:space="preserve">iques </w:t>
      </w:r>
      <w:r>
        <w:t xml:space="preserve"> s’ouvre un nou</w:t>
      </w:r>
      <w:r w:rsidR="00AB0D33">
        <w:t xml:space="preserve">vel imaginaire où s’amoindrissent encore davantage </w:t>
      </w:r>
      <w:r>
        <w:t>les références de l’histoire de l’art</w:t>
      </w:r>
      <w:r w:rsidR="00AB0D33">
        <w:t>, l’identification de ce qui nous est donné à voir. Certes,</w:t>
      </w:r>
      <w:r w:rsidR="005146CD">
        <w:t xml:space="preserve"> avec </w:t>
      </w:r>
      <w:r w:rsidR="005146CD" w:rsidRPr="005146CD">
        <w:rPr>
          <w:i/>
        </w:rPr>
        <w:t>Le Musée imaginaire</w:t>
      </w:r>
      <w:r w:rsidR="005146CD">
        <w:t xml:space="preserve"> nous étions déjà au cœur </w:t>
      </w:r>
      <w:r>
        <w:t xml:space="preserve">de la reproductibilité des œuvres </w:t>
      </w:r>
      <w:r w:rsidR="005146CD">
        <w:t xml:space="preserve">par le pouvoir de la photographie </w:t>
      </w:r>
      <w:r>
        <w:t>mais désormais l’expérience sensible</w:t>
      </w:r>
      <w:r w:rsidR="005146CD">
        <w:t xml:space="preserve">, esthétique, au musée comme à l’écran, </w:t>
      </w:r>
      <w:r>
        <w:t xml:space="preserve"> est </w:t>
      </w:r>
      <w:r w:rsidR="005146CD">
        <w:t xml:space="preserve">très souvent </w:t>
      </w:r>
      <w:r>
        <w:t xml:space="preserve">privilégiée et </w:t>
      </w:r>
      <w:r w:rsidR="005146CD">
        <w:t xml:space="preserve"> se trouve </w:t>
      </w:r>
      <w:r>
        <w:t xml:space="preserve">séparée </w:t>
      </w:r>
      <w:r w:rsidR="005146CD">
        <w:t>d’une approche savante</w:t>
      </w:r>
      <w:r w:rsidR="007E0AC0">
        <w:t xml:space="preserve"> dont on fait l’économie</w:t>
      </w:r>
      <w:r>
        <w:t xml:space="preserve">. </w:t>
      </w:r>
      <w:r w:rsidR="007E0AC0">
        <w:t>Ainsi, n</w:t>
      </w:r>
      <w:r w:rsidR="005146CD">
        <w:t>otr</w:t>
      </w:r>
      <w:r w:rsidR="007E0AC0">
        <w:t xml:space="preserve">e société multiplie, </w:t>
      </w:r>
      <w:r w:rsidR="005146CD">
        <w:t xml:space="preserve"> au musée comme </w:t>
      </w:r>
      <w:r w:rsidR="000F24FE">
        <w:t xml:space="preserve">partout </w:t>
      </w:r>
      <w:r w:rsidR="007E0AC0">
        <w:t xml:space="preserve">ailleurs, </w:t>
      </w:r>
      <w:r w:rsidR="000F24FE">
        <w:t xml:space="preserve">les dispositifs </w:t>
      </w:r>
      <w:r w:rsidR="007E0AC0">
        <w:t xml:space="preserve">interactifs </w:t>
      </w:r>
      <w:r w:rsidR="000F24FE">
        <w:t>d’accès à l’information tandis qu</w:t>
      </w:r>
      <w:r w:rsidR="007E0AC0">
        <w:t>e cette profusion excessive</w:t>
      </w:r>
      <w:r w:rsidR="000F24FE">
        <w:t xml:space="preserve"> nous inc</w:t>
      </w:r>
      <w:r w:rsidR="007E0AC0">
        <w:t>ite à rechercher</w:t>
      </w:r>
      <w:r w:rsidR="000F24FE">
        <w:t xml:space="preserve"> </w:t>
      </w:r>
      <w:r w:rsidR="007E0AC0">
        <w:t xml:space="preserve">ailleurs </w:t>
      </w:r>
      <w:r w:rsidR="000F24FE">
        <w:t>une possibilité de nous régéné</w:t>
      </w:r>
      <w:r w:rsidR="007E0AC0">
        <w:t>rer dans des</w:t>
      </w:r>
      <w:r w:rsidR="000F24FE">
        <w:t xml:space="preserve"> expérience</w:t>
      </w:r>
      <w:r w:rsidR="007E0AC0">
        <w:t xml:space="preserve">s </w:t>
      </w:r>
      <w:r w:rsidR="000F24FE">
        <w:t xml:space="preserve"> d’ordre émotionnel. </w:t>
      </w:r>
    </w:p>
    <w:p w:rsidR="00855C55" w:rsidRPr="00855C55" w:rsidRDefault="00A746B5" w:rsidP="00D71425">
      <w:pPr>
        <w:ind w:firstLine="432"/>
      </w:pPr>
      <w:r>
        <w:t xml:space="preserve">Notre propos est  </w:t>
      </w:r>
      <w:r w:rsidR="000C29A9">
        <w:t xml:space="preserve">bien </w:t>
      </w:r>
      <w:r>
        <w:t>de percevoi</w:t>
      </w:r>
      <w:r w:rsidR="007E0AC0">
        <w:t>r les effets du numérique au</w:t>
      </w:r>
      <w:r>
        <w:t xml:space="preserve"> </w:t>
      </w:r>
      <w:r w:rsidR="00152BD5">
        <w:t xml:space="preserve"> </w:t>
      </w:r>
      <w:r w:rsidR="000F24FE">
        <w:t>musée mais il</w:t>
      </w:r>
      <w:r>
        <w:t xml:space="preserve"> s’</w:t>
      </w:r>
      <w:r w:rsidR="000C29A9">
        <w:t>agit  moins ici</w:t>
      </w:r>
      <w:r w:rsidR="007E0AC0">
        <w:t xml:space="preserve"> d’observer</w:t>
      </w:r>
      <w:r>
        <w:t xml:space="preserve"> les nouveaux outils que le</w:t>
      </w:r>
      <w:r w:rsidR="00906693">
        <w:t xml:space="preserve"> numérique introduit en ses murs – ce que nous évoquerons au passage-</w:t>
      </w:r>
      <w:r w:rsidR="000C29A9">
        <w:t xml:space="preserve"> que </w:t>
      </w:r>
      <w:r>
        <w:t>d’analyser les effets</w:t>
      </w:r>
      <w:r w:rsidR="007E0AC0">
        <w:t>,</w:t>
      </w:r>
      <w:r>
        <w:t xml:space="preserve"> </w:t>
      </w:r>
      <w:r w:rsidR="007E0AC0">
        <w:t xml:space="preserve">pris en compte par le musée, </w:t>
      </w:r>
      <w:r w:rsidR="000F24FE">
        <w:t xml:space="preserve">que produisent </w:t>
      </w:r>
      <w:r w:rsidR="000C29A9">
        <w:t xml:space="preserve">sur notre sensibilité </w:t>
      </w:r>
      <w:r w:rsidR="000F24FE">
        <w:t>l</w:t>
      </w:r>
      <w:r>
        <w:t>es technologies du numérique qui organisent notre ra</w:t>
      </w:r>
      <w:r w:rsidR="000C29A9">
        <w:t xml:space="preserve">pport au réel, conditionnent </w:t>
      </w:r>
      <w:r w:rsidR="004676E4">
        <w:t xml:space="preserve">globalement nos modes de vie, donc </w:t>
      </w:r>
      <w:r w:rsidR="000C29A9">
        <w:t xml:space="preserve">nos comportements de visiteurs, nos « désirs de musée » et nos désirs dans le  musée, aussi bien qu’un nouveau rapport au monde de l’art que </w:t>
      </w:r>
      <w:r w:rsidR="004F5840">
        <w:t>révèlent les</w:t>
      </w:r>
      <w:r w:rsidR="000C29A9">
        <w:t xml:space="preserve"> postures des commissaires d’expositions</w:t>
      </w:r>
      <w:r w:rsidR="004F5840">
        <w:t xml:space="preserve"> les plus en vue aujourd’hui</w:t>
      </w:r>
      <w:r w:rsidR="000C29A9">
        <w:t xml:space="preserve">. Nous évoquerons notamment le travail de Didi- </w:t>
      </w:r>
      <w:proofErr w:type="spellStart"/>
      <w:r w:rsidR="000C29A9">
        <w:t>Huberman</w:t>
      </w:r>
      <w:proofErr w:type="spellEnd"/>
      <w:r w:rsidR="000C29A9">
        <w:t xml:space="preserve"> et </w:t>
      </w:r>
      <w:r w:rsidR="000F24FE">
        <w:t>d’</w:t>
      </w:r>
      <w:r w:rsidR="000C29A9">
        <w:t xml:space="preserve">Arno </w:t>
      </w:r>
      <w:proofErr w:type="spellStart"/>
      <w:r w:rsidR="000C29A9">
        <w:t>Gisinger</w:t>
      </w:r>
      <w:proofErr w:type="spellEnd"/>
      <w:r w:rsidR="000C29A9">
        <w:t xml:space="preserve"> au Palais de Tokyo et </w:t>
      </w:r>
      <w:r w:rsidR="000F24FE">
        <w:t xml:space="preserve">celui </w:t>
      </w:r>
      <w:r w:rsidR="000C29A9">
        <w:t xml:space="preserve">de Jean-Hubert Martin  à La maison Rouge.   </w:t>
      </w:r>
    </w:p>
    <w:p w:rsidR="00855C55" w:rsidRDefault="00855C55" w:rsidP="00D71425">
      <w:pPr>
        <w:ind w:firstLine="432"/>
      </w:pPr>
    </w:p>
    <w:p w:rsidR="004676E4" w:rsidRDefault="004676E4">
      <w:pPr>
        <w:spacing w:before="900" w:after="600"/>
        <w:ind w:left="432" w:hanging="430"/>
        <w:rPr>
          <w:b/>
          <w:sz w:val="24"/>
        </w:rPr>
      </w:pPr>
    </w:p>
    <w:p w:rsidR="00211795" w:rsidRDefault="00F663D5">
      <w:pPr>
        <w:spacing w:before="900" w:after="600"/>
        <w:ind w:left="432" w:hanging="430"/>
      </w:pPr>
      <w:r>
        <w:rPr>
          <w:b/>
          <w:sz w:val="24"/>
        </w:rPr>
        <w:t>1-L’incomplétude du musée</w:t>
      </w:r>
    </w:p>
    <w:p w:rsidR="00211795" w:rsidRPr="00DE3471" w:rsidRDefault="00F663D5">
      <w:pPr>
        <w:ind w:firstLine="0"/>
      </w:pPr>
      <w:r w:rsidRPr="00DE3471">
        <w:t>L’incomplétude du musée est le fruit d’une première dépossession fondatrice. C’est précisément le propos que tient  Malraux quand il évoque à la fois l’incomplétude des musées, aussi riches soient-ils, et l’arrachement à leur contexte  qu’ils font subir aux œuvres. « Là où l’œuvre n’a plus d’autre fonction que d’être œuvre d’art, à une époque où l’exploitation artistique du monde se poursuit, la réunion de tant de chefs-d’œuvre, d’où tant de chefs-d’œuvre sont absents, convoque dans l’esprit tous les chefs d’œuvre. Comment ce possible mutilé n’appellerait-il pas tout le possible ? »</w:t>
      </w:r>
      <w:r w:rsidRPr="00DE3471">
        <w:rPr>
          <w:rFonts w:ascii="Garamond" w:eastAsia="Garamond" w:hAnsi="Garamond" w:cs="Garamond"/>
          <w:sz w:val="24"/>
          <w:u w:val="single"/>
          <w:vertAlign w:val="superscript"/>
        </w:rPr>
        <w:footnoteReference w:id="3"/>
      </w:r>
      <w:r w:rsidRPr="00DE3471">
        <w:t xml:space="preserve"> </w:t>
      </w:r>
    </w:p>
    <w:p w:rsidR="004676E4" w:rsidRDefault="00F663D5">
      <w:r w:rsidRPr="00DE3471">
        <w:t xml:space="preserve">Or, ce possible mutilé, la réalité virtuelle peut prétendre nous le restituer. Le numérique </w:t>
      </w:r>
      <w:r w:rsidR="006876BF" w:rsidRPr="00DE3471">
        <w:t xml:space="preserve">peut réintroduire virtuellement </w:t>
      </w:r>
      <w:r w:rsidRPr="00DE3471">
        <w:t xml:space="preserve"> un ensemble dont le musée est privé, en nous donnant  dans ses murs  les moyens technologiques de le convoquer</w:t>
      </w:r>
      <w:r>
        <w:t>.</w:t>
      </w:r>
      <w:r w:rsidR="00F51AA4">
        <w:t xml:space="preserve"> Le visiteur es</w:t>
      </w:r>
      <w:r w:rsidR="007652F0">
        <w:t>t en effet appelé régulièrement</w:t>
      </w:r>
      <w:r w:rsidR="00F51AA4">
        <w:t>, dans de nombreuses expositions temporaires ou permanentes</w:t>
      </w:r>
      <w:r w:rsidR="007652F0">
        <w:t>,</w:t>
      </w:r>
      <w:r w:rsidR="00F51AA4">
        <w:t xml:space="preserve"> </w:t>
      </w:r>
      <w:r w:rsidR="00340FFB">
        <w:t>à flasher</w:t>
      </w:r>
      <w:r w:rsidR="00F51AA4">
        <w:t xml:space="preserve"> un code qui lui permet d’a</w:t>
      </w:r>
      <w:r w:rsidR="00562E72">
        <w:t xml:space="preserve">voir accès immédiatement, non seulement à la reconstitution virtuelle de l’objet lorsque le musée n’en présente qu’un fragment, mais aussi à une </w:t>
      </w:r>
      <w:proofErr w:type="spellStart"/>
      <w:r w:rsidR="00562E72">
        <w:t>recontextualisation</w:t>
      </w:r>
      <w:proofErr w:type="spellEnd"/>
      <w:r w:rsidR="00562E72">
        <w:t xml:space="preserve"> qui réinsère l’objet dans son milieu </w:t>
      </w:r>
      <w:r w:rsidR="00340FFB">
        <w:t>et/</w:t>
      </w:r>
      <w:r w:rsidR="00562E72">
        <w:t xml:space="preserve">ou son usage initial. </w:t>
      </w:r>
      <w:r w:rsidR="007652F0">
        <w:t xml:space="preserve">Le visiteur </w:t>
      </w:r>
      <w:r w:rsidR="006876BF">
        <w:t xml:space="preserve"> peut aussi</w:t>
      </w:r>
      <w:r w:rsidR="007652F0">
        <w:t xml:space="preserve"> choisir d’accéder à</w:t>
      </w:r>
      <w:r w:rsidR="006876BF">
        <w:t xml:space="preserve"> une série d’informations</w:t>
      </w:r>
      <w:r w:rsidR="00396FDE">
        <w:t>,</w:t>
      </w:r>
      <w:r w:rsidR="00AD4EE9">
        <w:t xml:space="preserve"> sur l’œuvre et ce qui l’environne</w:t>
      </w:r>
      <w:r w:rsidR="00396FDE">
        <w:t>,</w:t>
      </w:r>
      <w:r w:rsidR="006876BF">
        <w:t xml:space="preserve"> classé</w:t>
      </w:r>
      <w:r w:rsidR="00340FFB">
        <w:t>e</w:t>
      </w:r>
      <w:r w:rsidR="006876BF">
        <w:t xml:space="preserve">s </w:t>
      </w:r>
      <w:r w:rsidR="00340FFB">
        <w:t xml:space="preserve">par centres d’intérêt, </w:t>
      </w:r>
      <w:r w:rsidR="006876BF">
        <w:t>selon différents modes d’approches</w:t>
      </w:r>
      <w:r w:rsidR="00AD4EE9">
        <w:t xml:space="preserve"> et de types de curiosité</w:t>
      </w:r>
      <w:r w:rsidR="00340FFB">
        <w:t>.</w:t>
      </w:r>
    </w:p>
    <w:p w:rsidR="004676E4" w:rsidRDefault="004676E4">
      <w:r>
        <w:t>Ainsi, le NFC (</w:t>
      </w:r>
      <w:proofErr w:type="spellStart"/>
      <w:r>
        <w:t>Near</w:t>
      </w:r>
      <w:proofErr w:type="spellEnd"/>
      <w:r>
        <w:t xml:space="preserve"> Field Communication) permet d’échanger des informations à distance, par simple contact entre un terminal compatible et une borne. A l’été 2011, en </w:t>
      </w:r>
      <w:r>
        <w:lastRenderedPageBreak/>
        <w:t xml:space="preserve">partenariat avec Nokia, le Museum of London a équipé la majorité des œuvres exposées de bornes NCF. </w:t>
      </w:r>
    </w:p>
    <w:p w:rsidR="00340FFB" w:rsidRDefault="00947DE4">
      <w:r>
        <w:t>L</w:t>
      </w:r>
      <w:r w:rsidR="006876BF">
        <w:t xml:space="preserve">e visiteur </w:t>
      </w:r>
      <w:r w:rsidR="00383EFA">
        <w:t xml:space="preserve">qui </w:t>
      </w:r>
      <w:r w:rsidR="006876BF">
        <w:t>p</w:t>
      </w:r>
      <w:r w:rsidR="00906693">
        <w:t>ossède un mobile compatible NCF</w:t>
      </w:r>
      <w:r w:rsidR="00383EFA">
        <w:t xml:space="preserve"> peut facilement</w:t>
      </w:r>
      <w:r w:rsidR="00906693">
        <w:t xml:space="preserve"> et gratuitement,</w:t>
      </w:r>
      <w:r w:rsidR="006876BF">
        <w:t xml:space="preserve"> non seulement bénéficier </w:t>
      </w:r>
      <w:r w:rsidR="00340FFB">
        <w:t xml:space="preserve">pendant la visite </w:t>
      </w:r>
      <w:r w:rsidR="006876BF">
        <w:t>d’un accompagnement très documen</w:t>
      </w:r>
      <w:r w:rsidR="00340FFB">
        <w:t xml:space="preserve">té qui, </w:t>
      </w:r>
      <w:r w:rsidR="006876BF">
        <w:t xml:space="preserve">une fois encore, réinsère l’objet dans une réalité dont sa présence au musée le prive, </w:t>
      </w:r>
      <w:r w:rsidR="00383EFA">
        <w:t xml:space="preserve">mais il </w:t>
      </w:r>
      <w:r w:rsidR="008A6C0B">
        <w:t xml:space="preserve"> e</w:t>
      </w:r>
      <w:r w:rsidR="00340FFB">
        <w:t xml:space="preserve">mporte aussi </w:t>
      </w:r>
      <w:r w:rsidR="00AD4EE9">
        <w:t xml:space="preserve">avec lui, hors des murs du musée, </w:t>
      </w:r>
      <w:r w:rsidR="00340FFB">
        <w:t xml:space="preserve">les éléments </w:t>
      </w:r>
      <w:r w:rsidR="00AD4EE9">
        <w:t xml:space="preserve">activés et </w:t>
      </w:r>
      <w:r w:rsidR="00340FFB">
        <w:t>capitalisés sur son smartphone</w:t>
      </w:r>
      <w:r w:rsidR="00AD4EE9">
        <w:t xml:space="preserve"> lors de  sa visite</w:t>
      </w:r>
      <w:r w:rsidR="00F46FC5">
        <w:t xml:space="preserve"> et qu’il peut partager</w:t>
      </w:r>
      <w:r w:rsidR="008A6C0B">
        <w:t>.</w:t>
      </w:r>
    </w:p>
    <w:p w:rsidR="00383EFA" w:rsidRDefault="00383EFA">
      <w:r>
        <w:t xml:space="preserve">Au 8 novembre 2013, un panorama fait apparaître 237 applications mobiles muséales et culturelles en </w:t>
      </w:r>
      <w:proofErr w:type="gramStart"/>
      <w:r>
        <w:t>France .</w:t>
      </w:r>
      <w:proofErr w:type="gramEnd"/>
    </w:p>
    <w:p w:rsidR="009D355F" w:rsidRDefault="00340FFB" w:rsidP="007652F0">
      <w:r>
        <w:t xml:space="preserve"> Désormais, avec les technologies </w:t>
      </w:r>
      <w:r w:rsidR="00F83C3D">
        <w:t>du numérique</w:t>
      </w:r>
      <w:r>
        <w:t>, l</w:t>
      </w:r>
      <w:r w:rsidR="008A6C0B">
        <w:t>’</w:t>
      </w:r>
      <w:r>
        <w:t>espace du musée absorbe, à l</w:t>
      </w:r>
      <w:r w:rsidR="008A6C0B">
        <w:t>a demande</w:t>
      </w:r>
      <w:r>
        <w:t xml:space="preserve"> de chacun</w:t>
      </w:r>
      <w:r w:rsidR="008A6C0B">
        <w:t xml:space="preserve">, une réalité extérieure qui enrichit la connaissance de l’œuvre </w:t>
      </w:r>
      <w:r>
        <w:t>mais</w:t>
      </w:r>
      <w:r w:rsidR="008A6C0B">
        <w:t xml:space="preserve"> défait en même temps la </w:t>
      </w:r>
      <w:r w:rsidR="007652F0">
        <w:t>particularité du musée :</w:t>
      </w:r>
      <w:r w:rsidR="008A6C0B">
        <w:t xml:space="preserve"> une présence </w:t>
      </w:r>
      <w:r>
        <w:t>d’une certaine manière « </w:t>
      </w:r>
      <w:r w:rsidR="008A6C0B">
        <w:t>déréalisée</w:t>
      </w:r>
      <w:r>
        <w:t> »</w:t>
      </w:r>
      <w:r w:rsidR="008A6C0B">
        <w:t xml:space="preserve">, en ce sens que l’œuvre </w:t>
      </w:r>
      <w:r>
        <w:t xml:space="preserve">entrée </w:t>
      </w:r>
      <w:r w:rsidR="008A6C0B">
        <w:t>au musée vit d’</w:t>
      </w:r>
      <w:r w:rsidR="00AD4EE9">
        <w:t>une vie autonome,  mais aussi une</w:t>
      </w:r>
      <w:r w:rsidR="008A6C0B">
        <w:t xml:space="preserve"> re</w:t>
      </w:r>
      <w:r w:rsidR="00AD4EE9">
        <w:t xml:space="preserve">ncontre unique et mystérieuse dans </w:t>
      </w:r>
      <w:r w:rsidR="008A6C0B">
        <w:t>un face-à-face corporel et singulier ne</w:t>
      </w:r>
      <w:r w:rsidR="007652F0">
        <w:t xml:space="preserve"> procédant que de ce qui est </w:t>
      </w:r>
      <w:r w:rsidR="008A6C0B">
        <w:t xml:space="preserve"> donné à voir et à sentir</w:t>
      </w:r>
      <w:r w:rsidR="00E83C48">
        <w:t xml:space="preserve"> dans cet espace </w:t>
      </w:r>
      <w:r w:rsidR="0044679B">
        <w:t xml:space="preserve"> clos</w:t>
      </w:r>
      <w:r w:rsidR="007652F0">
        <w:t xml:space="preserve">  que sont les salles de musée </w:t>
      </w:r>
      <w:r w:rsidR="00383EFA">
        <w:t>ou d’expositions</w:t>
      </w:r>
      <w:r w:rsidR="008A6C0B">
        <w:t xml:space="preserve">. </w:t>
      </w:r>
    </w:p>
    <w:p w:rsidR="00211795" w:rsidRDefault="00947DE4" w:rsidP="00947DE4">
      <w:pPr>
        <w:ind w:firstLine="0"/>
      </w:pPr>
      <w:r>
        <w:t xml:space="preserve">      </w:t>
      </w:r>
      <w:r w:rsidR="007652F0">
        <w:t>Certes</w:t>
      </w:r>
      <w:r w:rsidR="00F663D5">
        <w:t xml:space="preserve">, </w:t>
      </w:r>
      <w:r w:rsidR="00F663D5" w:rsidRPr="0080195E">
        <w:rPr>
          <w:i/>
        </w:rPr>
        <w:t>Le Musée imaginaire</w:t>
      </w:r>
      <w:r w:rsidR="00F663D5" w:rsidRPr="009815F6">
        <w:t xml:space="preserve">, </w:t>
      </w:r>
      <w:r w:rsidR="00383EFA">
        <w:t xml:space="preserve">déjà </w:t>
      </w:r>
      <w:r w:rsidR="00F663D5" w:rsidRPr="009815F6">
        <w:t xml:space="preserve">tel que Malraux le définit,  intègre à l’infini et en même temps s’ouvre à l’infini de </w:t>
      </w:r>
      <w:r w:rsidR="00E83C48">
        <w:t xml:space="preserve"> </w:t>
      </w:r>
      <w:r w:rsidR="00F663D5" w:rsidRPr="009815F6">
        <w:t>la confrontation. Mais cet infini, plus philosophique que réel chez Malraux, dont le musée nous fait rêver –et précisément ce rêve est à protéger- n’est-il pas, si l’on n’y prend garde, redoutablement concurrencé, remplacé par le substitut numérique qui lui ressemble</w:t>
      </w:r>
      <w:r w:rsidR="00502624" w:rsidRPr="009815F6">
        <w:t> ?</w:t>
      </w:r>
      <w:r w:rsidR="00F663D5" w:rsidRPr="009815F6">
        <w:t xml:space="preserve"> </w:t>
      </w:r>
      <w:r w:rsidR="00502624" w:rsidRPr="009815F6">
        <w:t xml:space="preserve"> </w:t>
      </w:r>
    </w:p>
    <w:p w:rsidR="0080195E" w:rsidRPr="009815F6" w:rsidRDefault="0080195E" w:rsidP="00F83C3D">
      <w:r>
        <w:t>Le M</w:t>
      </w:r>
      <w:r w:rsidR="00E83C48">
        <w:t>usée se doit peut-être de conserver cette incomplétude originelle</w:t>
      </w:r>
      <w:r>
        <w:t xml:space="preserve">, cet isolement </w:t>
      </w:r>
      <w:r w:rsidR="00AD4EE9">
        <w:t xml:space="preserve">de leur milieu </w:t>
      </w:r>
      <w:r>
        <w:t xml:space="preserve">qu’il fait subir aux objets, sans succomber à la tentation, par compensation,  </w:t>
      </w:r>
      <w:r w:rsidR="00AD4EE9">
        <w:t>de « surinformer » l’</w:t>
      </w:r>
      <w:proofErr w:type="spellStart"/>
      <w:r w:rsidR="00AD4EE9">
        <w:t>oeuvre</w:t>
      </w:r>
      <w:proofErr w:type="spellEnd"/>
      <w:r w:rsidR="00AD4EE9">
        <w:t xml:space="preserve">  grâce à  une </w:t>
      </w:r>
      <w:r>
        <w:t xml:space="preserve">technologie sophistiquée. </w:t>
      </w:r>
    </w:p>
    <w:p w:rsidR="00E83C48" w:rsidRDefault="0080195E" w:rsidP="007652F0">
      <w:r>
        <w:t>E</w:t>
      </w:r>
      <w:r w:rsidR="00E83C48">
        <w:t>n réaction à cette tentation</w:t>
      </w:r>
      <w:r w:rsidR="00383EFA">
        <w:t xml:space="preserve"> de </w:t>
      </w:r>
      <w:r w:rsidR="00392F7A">
        <w:t>« </w:t>
      </w:r>
      <w:r w:rsidR="00383EFA">
        <w:t>l’extension du domaine du savoir</w:t>
      </w:r>
      <w:r w:rsidR="00392F7A">
        <w:t> »</w:t>
      </w:r>
      <w:r>
        <w:t xml:space="preserve">, </w:t>
      </w:r>
      <w:r w:rsidR="00594C47" w:rsidRPr="009815F6">
        <w:t>une tendance s’affirme aujour</w:t>
      </w:r>
      <w:r w:rsidR="00AD4EE9">
        <w:t>d’hui dans certains musées où ce qui est jugé comme le plus important n’est pas</w:t>
      </w:r>
      <w:r w:rsidR="00594C47" w:rsidRPr="009815F6">
        <w:t xml:space="preserve"> l’information mais l’expérience. Ainsi, l</w:t>
      </w:r>
      <w:r w:rsidR="00F83C3D" w:rsidRPr="009815F6">
        <w:t>e</w:t>
      </w:r>
      <w:r w:rsidR="007652F0" w:rsidRPr="009815F6">
        <w:t xml:space="preserve"> musée du Quai </w:t>
      </w:r>
      <w:r w:rsidR="007652F0" w:rsidRPr="009815F6">
        <w:lastRenderedPageBreak/>
        <w:t>Branly</w:t>
      </w:r>
      <w:r w:rsidR="00F83C3D" w:rsidRPr="009815F6">
        <w:t xml:space="preserve"> est un bon exemple de résistance </w:t>
      </w:r>
      <w:r w:rsidR="007652F0" w:rsidRPr="009815F6">
        <w:t xml:space="preserve"> </w:t>
      </w:r>
      <w:r w:rsidR="00F83C3D" w:rsidRPr="009815F6">
        <w:t xml:space="preserve">aux pouvoirs </w:t>
      </w:r>
      <w:r w:rsidR="00594C47" w:rsidRPr="009815F6">
        <w:t>informationnel</w:t>
      </w:r>
      <w:r w:rsidR="00BD4D04" w:rsidRPr="009815F6">
        <w:t>s</w:t>
      </w:r>
      <w:r w:rsidR="00E83C48">
        <w:t xml:space="preserve"> et substitutifs</w:t>
      </w:r>
      <w:r w:rsidR="00594C47" w:rsidRPr="009815F6">
        <w:t xml:space="preserve"> </w:t>
      </w:r>
      <w:r w:rsidR="00F83C3D" w:rsidRPr="009815F6">
        <w:t xml:space="preserve">du numérique pour protéger la magie de l’œuvre </w:t>
      </w:r>
      <w:r w:rsidR="00594C47" w:rsidRPr="009815F6">
        <w:t>et une proximité émotionnelle  avec elle</w:t>
      </w:r>
      <w:r w:rsidR="00845C8F">
        <w:t xml:space="preserve"> dans l’isolement du musée. </w:t>
      </w:r>
    </w:p>
    <w:p w:rsidR="008B3E73" w:rsidRDefault="00845C8F" w:rsidP="007652F0">
      <w:r>
        <w:t>Dès leur arrivée, les visiteurs entrent dans un espace différencié  qui invite à l’immersion dans un lieu dont la frontière avec la ville est marquée par un étrange foisonnement végétal. Comme l’a voulu Jean Nouvel, le musée est un lieu initiatique auquel on accède en faisant l’expérience d’un passage</w:t>
      </w:r>
      <w:r w:rsidR="00AD4EE9">
        <w:t>, d’une coupure</w:t>
      </w:r>
      <w:r>
        <w:t xml:space="preserve">. </w:t>
      </w:r>
    </w:p>
    <w:p w:rsidR="00845C8F" w:rsidRDefault="00845C8F" w:rsidP="007652F0">
      <w:r>
        <w:t xml:space="preserve">Une récente enquête </w:t>
      </w:r>
      <w:r w:rsidR="008B3E73">
        <w:t xml:space="preserve">ethnographique </w:t>
      </w:r>
      <w:r>
        <w:t>de terrain</w:t>
      </w:r>
      <w:r w:rsidR="008B3E73">
        <w:t>,</w:t>
      </w:r>
      <w:r>
        <w:t xml:space="preserve"> menée entre 2009 et 2010 à la demande du Département des publics  au sein du musée</w:t>
      </w:r>
      <w:r w:rsidR="008B3E73">
        <w:t xml:space="preserve">, a permis de mettre en évidence les réactions des visiteurs à certaines intentions et  stratégies d’exposition du musée </w:t>
      </w:r>
      <w:r w:rsidR="00594C47" w:rsidRPr="009815F6">
        <w:t xml:space="preserve">. </w:t>
      </w:r>
      <w:r w:rsidR="008B3E73">
        <w:t xml:space="preserve">Ainsi, la découverte du Plateau des collections est vécue comme une expérience riche, forte et agréable, alors même que le visiteur s’y sent perdu : pénombre, rareté de l’information, absence de parcours prescrit, désorientation très grande. </w:t>
      </w:r>
    </w:p>
    <w:p w:rsidR="00E83C48" w:rsidRDefault="00E52647" w:rsidP="007652F0">
      <w:r>
        <w:t xml:space="preserve">« Le lien entre objets et savoir ne semble pas se faire facilement. Le choix de séparer les collections des informations les concernant est délibéré. Mis à part les cartels, propres à identifier les objets mais disposés sur le côté des vitrines, et la mise en contexte minimale apportée par les panneaux d’information, les autres dispositifs proposés (notamment les vidéos de la mezzanine multimédia) sont perçus comme des développements potentiels, réservés à d’ultérieures visites. Lors d’une première visite, ils apparaissent comme une « perte des temps », un moment pris sur l’expérience de la découverte du lieu et des objets qui l’habitent. Si la mezzanine multimédia est dédiée à l’approfondissement des données relatives aux objets et aux cultures les ayant produites et utilisées, elle demeure </w:t>
      </w:r>
      <w:r>
        <w:lastRenderedPageBreak/>
        <w:t>souvent vide, sert de zone de repos ou de point de vue panoramique »</w:t>
      </w:r>
      <w:r w:rsidR="00A1427A">
        <w:rPr>
          <w:rStyle w:val="Appelnotedebasdep"/>
        </w:rPr>
        <w:footnoteReference w:id="4"/>
      </w:r>
      <w:r>
        <w:t xml:space="preserve">. </w:t>
      </w:r>
    </w:p>
    <w:p w:rsidR="00E52647" w:rsidRDefault="00E52647" w:rsidP="007652F0">
      <w:r>
        <w:t xml:space="preserve">En fait, 6% des visiteurs </w:t>
      </w:r>
      <w:r w:rsidR="00392F7A">
        <w:t xml:space="preserve">interrogés </w:t>
      </w:r>
      <w:r>
        <w:t>déclarent s’être rendus sur la mezzanine multimédia</w:t>
      </w:r>
      <w:r w:rsidR="00E83C48">
        <w:t xml:space="preserve"> et 25%</w:t>
      </w:r>
      <w:r w:rsidR="00FC01C6">
        <w:t xml:space="preserve"> en connaître l’existence. La raison donnée à cette non-visite est, pour 55% des enquêtés, « le manque de temps » alors que 24% expliquent « cela ne m’intéressait pas »</w:t>
      </w:r>
      <w:r w:rsidR="007F76C4">
        <w:rPr>
          <w:rStyle w:val="Appelnotedebasdep"/>
        </w:rPr>
        <w:footnoteReference w:id="5"/>
      </w:r>
      <w:r w:rsidR="00FC01C6">
        <w:t xml:space="preserve">. </w:t>
      </w:r>
    </w:p>
    <w:p w:rsidR="00FC01C6" w:rsidRDefault="00FC01C6" w:rsidP="007F76C4">
      <w:r>
        <w:t>Pour la plupart des visiteurs, le registre de la « promenade » et de la « rêverie » au milieu des objets prime sur celui de l’acquisition d’un savoir sur les objets. La pénombre propice à l’intimité, des dispositifs de médiation peu présents et peu perçus favorisent les conditions d’une rencontre avec les éléments exposés qui se suffisent à eux-mêmes. Le musée brouille les frontières entre les catégories d’objets, leur valeur d’usage init</w:t>
      </w:r>
      <w:r w:rsidR="007F76C4">
        <w:t xml:space="preserve">ial, leur première destination, artistique ou utilitaire, religieuse, la raison de leur arrivée au musée…Ainsi se cristallise une tension entre distance et proximité, possession et dépossession. </w:t>
      </w:r>
    </w:p>
    <w:p w:rsidR="007652F0" w:rsidRDefault="00E83C48" w:rsidP="007652F0">
      <w:r>
        <w:t>Au quai Branly</w:t>
      </w:r>
      <w:r w:rsidR="00BD4D04" w:rsidRPr="009815F6">
        <w:t xml:space="preserve">  l’</w:t>
      </w:r>
      <w:r>
        <w:t>exposition</w:t>
      </w:r>
      <w:r w:rsidR="00BD4D04" w:rsidRPr="009815F6">
        <w:t xml:space="preserve"> résiste au style autorita</w:t>
      </w:r>
      <w:r w:rsidR="008B3E73">
        <w:t xml:space="preserve">ire qui tend à être associé aux </w:t>
      </w:r>
      <w:r w:rsidR="00BD4D04" w:rsidRPr="009815F6">
        <w:t>musées</w:t>
      </w:r>
      <w:r w:rsidR="008B3E73">
        <w:t>.</w:t>
      </w:r>
      <w:r w:rsidR="00BD4D04" w:rsidRPr="009815F6">
        <w:t xml:space="preserve"> En minimisant</w:t>
      </w:r>
      <w:r w:rsidR="00BD4D04">
        <w:t xml:space="preserve"> ou en dissimulant des informations, elle met en scène la re</w:t>
      </w:r>
      <w:r>
        <w:t>ncontre sensuelle et l’émotion,</w:t>
      </w:r>
      <w:r w:rsidR="009815F6">
        <w:t xml:space="preserve"> elle refuse de maintenir un regard contextualisé sur des collections</w:t>
      </w:r>
      <w:r w:rsidR="007652F0">
        <w:t xml:space="preserve"> </w:t>
      </w:r>
      <w:r w:rsidR="009815F6">
        <w:t>et leur histoire. « </w:t>
      </w:r>
      <w:r w:rsidR="00967AF0">
        <w:t>L</w:t>
      </w:r>
      <w:r w:rsidR="009815F6">
        <w:t>e paradigme d’une inst</w:t>
      </w:r>
      <w:r w:rsidR="00967AF0">
        <w:t>itution muséale dominée au XX</w:t>
      </w:r>
      <w:r w:rsidR="009815F6">
        <w:t>ème siècle par l’idée d’une science ethnographi</w:t>
      </w:r>
      <w:r w:rsidR="00967AF0">
        <w:t>que chargée de rendre compte de</w:t>
      </w:r>
      <w:r w:rsidR="009815F6">
        <w:t xml:space="preserve"> cultures</w:t>
      </w:r>
      <w:r w:rsidR="00967AF0">
        <w:t xml:space="preserve"> ou de sociétés semble en retrait face à la primauté d’un regard artistique. »</w:t>
      </w:r>
      <w:r w:rsidR="00C7641D">
        <w:rPr>
          <w:rStyle w:val="Appelnotedebasdep"/>
        </w:rPr>
        <w:footnoteReference w:id="6"/>
      </w:r>
      <w:r w:rsidR="00C7641D">
        <w:t>.</w:t>
      </w:r>
      <w:r w:rsidR="009815F6">
        <w:t xml:space="preserve"> </w:t>
      </w:r>
    </w:p>
    <w:p w:rsidR="00C7641D" w:rsidRDefault="00C7641D" w:rsidP="007652F0">
      <w:r>
        <w:t xml:space="preserve">Or, précisément, ce à quoi nous invite </w:t>
      </w:r>
      <w:r w:rsidRPr="00E83C48">
        <w:rPr>
          <w:i/>
        </w:rPr>
        <w:t>Le Musée imaginaire</w:t>
      </w:r>
      <w:r>
        <w:t xml:space="preserve"> de Malraux est certes une confrontation avec des éléments </w:t>
      </w:r>
      <w:r>
        <w:lastRenderedPageBreak/>
        <w:t xml:space="preserve">extérieurs à l’œuvre </w:t>
      </w:r>
      <w:r w:rsidR="00E83C48">
        <w:t>e</w:t>
      </w:r>
      <w:r w:rsidR="00A1427A">
        <w:t>t que la photographie permet</w:t>
      </w:r>
      <w:r w:rsidR="001352AF">
        <w:t xml:space="preserve"> </w:t>
      </w:r>
      <w:r>
        <w:t>mais cette confrontation est d’</w:t>
      </w:r>
      <w:r w:rsidR="001352AF">
        <w:t>ordre esthétique, émotionnel</w:t>
      </w:r>
      <w:r>
        <w:t xml:space="preserve"> et non informatio</w:t>
      </w:r>
      <w:r w:rsidR="001352AF">
        <w:t>nnel</w:t>
      </w:r>
      <w:r w:rsidR="0080195E">
        <w:t xml:space="preserve"> ou pédagogique. </w:t>
      </w:r>
      <w:r w:rsidR="001352AF">
        <w:t>On l’a souvent reproché à Malraux en pointant ce qui serait dans cette seule mis en présence de l’œuvre, en l’absence de médiation culturelle, les prémices d’un échec de la démocratisation culturelle,  à l’opposé fin</w:t>
      </w:r>
      <w:r w:rsidR="00A1427A">
        <w:t>alement de ce qui est attendu d</w:t>
      </w:r>
      <w:r w:rsidR="001352AF">
        <w:t>es technologi</w:t>
      </w:r>
      <w:r w:rsidR="00F46FC5">
        <w:t xml:space="preserve">es du numérique. </w:t>
      </w:r>
    </w:p>
    <w:p w:rsidR="003C78C1" w:rsidRDefault="003C78C1" w:rsidP="007652F0">
      <w:r>
        <w:t>Certes, le musée du quai Branly</w:t>
      </w:r>
      <w:r w:rsidR="002622E3">
        <w:t xml:space="preserve"> </w:t>
      </w:r>
      <w:r>
        <w:t xml:space="preserve"> qui invite le visiteur à porter un regard « désinformé », « décontextualisé »  au profit d’une émotion, d’un trouble esthétiques, d’un rapport direct à l’œuvre, sans le détour par l’information, est  bien  plus qu’une réaction salutaire à une société du « tout informationnel » . Il a été perçu comme un refus de maintenir un regard contextualisé sur des collections et leur histoire, et à travers elles sur des populations et sur le colonialisme. « Le quai Branly nous place à un moment </w:t>
      </w:r>
      <w:proofErr w:type="spellStart"/>
      <w:r>
        <w:t>post</w:t>
      </w:r>
      <w:r w:rsidR="002622E3">
        <w:t>-</w:t>
      </w:r>
      <w:r>
        <w:t>colonial</w:t>
      </w:r>
      <w:proofErr w:type="spellEnd"/>
      <w:r>
        <w:t xml:space="preserve"> du traitement de l’Autre, réduit à une légitimation artistique qui l’affranchirait de son passé »</w:t>
      </w:r>
      <w:r>
        <w:rPr>
          <w:rStyle w:val="Appelnotedebasdep"/>
        </w:rPr>
        <w:footnoteReference w:id="7"/>
      </w:r>
      <w:r>
        <w:t>.</w:t>
      </w:r>
    </w:p>
    <w:p w:rsidR="00B81BE1" w:rsidRDefault="00392F7A" w:rsidP="007652F0">
      <w:r w:rsidRPr="00E9790B">
        <w:t>Dans un autre contexte muséographique et institutionnel prestigieu</w:t>
      </w:r>
      <w:r w:rsidR="00F9522C" w:rsidRPr="00E9790B">
        <w:t>x, celui du mu</w:t>
      </w:r>
      <w:r w:rsidRPr="00E9790B">
        <w:t>sée du Louvre, dont toute l’organisation renvoie à une périodicité historique et géographique précises, à une esthétique bien identifiée et référe</w:t>
      </w:r>
      <w:r w:rsidR="00F9522C" w:rsidRPr="00E9790B">
        <w:t>ncée, il est à remarquer que de prestigieux</w:t>
      </w:r>
      <w:r w:rsidRPr="00E9790B">
        <w:t xml:space="preserve"> artistes contemporains</w:t>
      </w:r>
      <w:r w:rsidR="00F9522C" w:rsidRPr="00E9790B">
        <w:t xml:space="preserve"> </w:t>
      </w:r>
      <w:r w:rsidR="00B81BE1">
        <w:t xml:space="preserve">sont </w:t>
      </w:r>
      <w:r w:rsidR="00F9522C" w:rsidRPr="00E9790B">
        <w:t xml:space="preserve">invités </w:t>
      </w:r>
      <w:r w:rsidRPr="00E9790B">
        <w:t xml:space="preserve"> –</w:t>
      </w:r>
      <w:r w:rsidR="00F9522C" w:rsidRPr="00E9790B">
        <w:t xml:space="preserve">en </w:t>
      </w:r>
      <w:r w:rsidRPr="00E9790B">
        <w:t xml:space="preserve"> 2014 Bob Wilson-</w:t>
      </w:r>
      <w:r w:rsidR="00B81BE1">
        <w:t xml:space="preserve"> à nous présenter</w:t>
      </w:r>
      <w:r w:rsidR="00F9522C" w:rsidRPr="00E9790B">
        <w:t xml:space="preserve"> leur « Musée imaginaire ». Non des reproductions –certaines œuvres photographiques y figurent mais elles sont des œuvres originales et non des reproductions d’œuvres- mais des œuvres originales, prélevées parfois aux collections du musée et mêlées à celle de l’artiste – ce fut le cas pour Patrice Chér</w:t>
      </w:r>
      <w:r w:rsidR="00E9790B" w:rsidRPr="00E9790B">
        <w:t>eau et L</w:t>
      </w:r>
      <w:r w:rsidR="00F9522C" w:rsidRPr="00E9790B">
        <w:t xml:space="preserve">e </w:t>
      </w:r>
      <w:proofErr w:type="spellStart"/>
      <w:r w:rsidR="00F9522C" w:rsidRPr="00E9790B">
        <w:t>Clézio</w:t>
      </w:r>
      <w:proofErr w:type="spellEnd"/>
      <w:r w:rsidR="00F9522C" w:rsidRPr="00E9790B">
        <w:t xml:space="preserve"> - ou, comme pour Bob Wilson cette année, les pièces d’une collection per</w:t>
      </w:r>
      <w:r w:rsidR="00B81BE1">
        <w:t>sonnelle</w:t>
      </w:r>
      <w:r w:rsidR="00F9522C" w:rsidRPr="00E9790B">
        <w:t xml:space="preserve"> hétéroclite et dont les éléments ne sont pas ou extrêmement peu référencés. </w:t>
      </w:r>
      <w:r w:rsidR="00F46FC5">
        <w:t>Il faut chercher avec obstination, si notre curiosité personnelle nous l’impose, la description de l’objet présenté, toujours à distance de l’œuvre exposée.</w:t>
      </w:r>
    </w:p>
    <w:p w:rsidR="00B81BE1" w:rsidRDefault="00F9522C" w:rsidP="00F46FC5">
      <w:r w:rsidRPr="00E9790B">
        <w:lastRenderedPageBreak/>
        <w:t>Le charme q</w:t>
      </w:r>
      <w:r w:rsidR="00E9790B" w:rsidRPr="00E9790B">
        <w:t>ui se dégage de ces expositions</w:t>
      </w:r>
      <w:r w:rsidRPr="00E9790B">
        <w:t>, souvent souligné par les critiques, relève</w:t>
      </w:r>
      <w:r w:rsidR="00E9790B">
        <w:t xml:space="preserve"> de ce mystère préservé de la collection</w:t>
      </w:r>
      <w:r w:rsidRPr="00E9790B">
        <w:t>, d</w:t>
      </w:r>
      <w:r w:rsidR="00E9790B">
        <w:t xml:space="preserve">ans </w:t>
      </w:r>
      <w:r w:rsidRPr="00E9790B">
        <w:t xml:space="preserve">une approche sensible et empathique avec l’artiste invité. </w:t>
      </w:r>
      <w:r w:rsidR="00B81BE1">
        <w:t xml:space="preserve"> </w:t>
      </w:r>
    </w:p>
    <w:p w:rsidR="00275A3D" w:rsidRDefault="00F46FC5" w:rsidP="00275A3D">
      <w:r>
        <w:t>Dans un même esprit de confrontations singulières, mystérieuses, non argumentées ni référencées – du moins là encore très discrètement- e</w:t>
      </w:r>
      <w:r w:rsidR="00B81BE1">
        <w:t xml:space="preserve">n 2007 Axel </w:t>
      </w:r>
      <w:proofErr w:type="spellStart"/>
      <w:r w:rsidR="00B81BE1">
        <w:t>Vervoordt</w:t>
      </w:r>
      <w:proofErr w:type="spellEnd"/>
      <w:r w:rsidR="00B81BE1">
        <w:t xml:space="preserve"> créait l’événement en marge de la Biennale de Venise. « </w:t>
      </w:r>
      <w:proofErr w:type="spellStart"/>
      <w:r w:rsidR="00B81BE1">
        <w:t>Artempo</w:t>
      </w:r>
      <w:proofErr w:type="spellEnd"/>
      <w:r w:rsidR="00B81BE1">
        <w:t> » brassait  les genres</w:t>
      </w:r>
      <w:r w:rsidR="004A624E">
        <w:t xml:space="preserve">, les médias et les </w:t>
      </w:r>
      <w:proofErr w:type="spellStart"/>
      <w:r w:rsidR="004A624E">
        <w:t>siécles</w:t>
      </w:r>
      <w:proofErr w:type="spellEnd"/>
      <w:r w:rsidR="004A624E">
        <w:t xml:space="preserve"> au </w:t>
      </w:r>
      <w:proofErr w:type="spellStart"/>
      <w:r w:rsidR="004A624E">
        <w:t>P</w:t>
      </w:r>
      <w:r w:rsidR="00B81BE1">
        <w:t>alazzo</w:t>
      </w:r>
      <w:proofErr w:type="spellEnd"/>
      <w:r w:rsidR="00B81BE1">
        <w:t xml:space="preserve"> Fortuny. </w:t>
      </w:r>
      <w:r w:rsidR="004A624E">
        <w:t>Il fallait chercher avec obstination les références des œuvres présentées et le visiteur n’en éprouvait pas le désir, s’abandonnant au saisissement de l’expérience esthétique qui lui était proposée. On était bien loin des out</w:t>
      </w:r>
      <w:r>
        <w:t xml:space="preserve">ils technologiques  de reconstitution fictive du contexte de l’œuvre </w:t>
      </w:r>
      <w:r w:rsidR="00275A3D">
        <w:t xml:space="preserve">ou </w:t>
      </w:r>
      <w:r>
        <w:t xml:space="preserve">d’information </w:t>
      </w:r>
      <w:r w:rsidR="00275A3D">
        <w:t xml:space="preserve">infinie sur celle-ci. </w:t>
      </w:r>
    </w:p>
    <w:p w:rsidR="00275A3D" w:rsidRDefault="00275A3D" w:rsidP="00275A3D">
      <w:r>
        <w:t>L’atmosphère du Palais Fortuny</w:t>
      </w:r>
      <w:r w:rsidR="004A624E">
        <w:t xml:space="preserve"> </w:t>
      </w:r>
      <w:r>
        <w:t>rappelait dans son désordre étrange et ses confrontations improbables d’objets hétéroclites, les cabinets de curi</w:t>
      </w:r>
      <w:r w:rsidR="009D5E7E">
        <w:t>osités des XVIe et XVIIe</w:t>
      </w:r>
      <w:r>
        <w:t xml:space="preserve"> siècle</w:t>
      </w:r>
      <w:r w:rsidR="009D5E7E">
        <w:t>s</w:t>
      </w:r>
      <w:r>
        <w:t xml:space="preserve">  dont on recherche aujourd’hui  l’esprit dans de nombreuses expositions qui font </w:t>
      </w:r>
      <w:proofErr w:type="gramStart"/>
      <w:r>
        <w:t>date</w:t>
      </w:r>
      <w:proofErr w:type="gramEnd"/>
      <w:r>
        <w:t>.</w:t>
      </w:r>
    </w:p>
    <w:p w:rsidR="008F41DE" w:rsidRDefault="00B4686D" w:rsidP="008F41DE">
      <w:pPr>
        <w:ind w:firstLine="0"/>
      </w:pPr>
      <w:r>
        <w:t xml:space="preserve">     </w:t>
      </w:r>
      <w:r w:rsidR="002A739A">
        <w:t>Ainsi celle présentée à La M</w:t>
      </w:r>
      <w:r w:rsidR="007C56B0">
        <w:t>aison Rouge du 19 octobre 2013 au 12 janvier 2014</w:t>
      </w:r>
      <w:r w:rsidR="00832D51">
        <w:t xml:space="preserve"> sous le titre « Théâtre du Monde »</w:t>
      </w:r>
      <w:r w:rsidR="009D5E7E">
        <w:t xml:space="preserve"> et qui remporta un immense succès</w:t>
      </w:r>
      <w:r w:rsidR="00832D51">
        <w:t>.  David Walsh, collectionneur australien, confie une partie de sa collection au commissaire d’exposition Jean-Hubert Martin, célèbre pour sa volonté de bousculer les conventions muséologiques et pour son habileté à faire dialoguer des œuvres à priori très</w:t>
      </w:r>
      <w:r w:rsidR="009D5E7E">
        <w:t xml:space="preserve"> éloignées. A la M</w:t>
      </w:r>
      <w:r w:rsidR="00832D51">
        <w:t>aison Rouge, il applique son idée de « musée des charmes » qu’il définit comme un musée qui se veut avant tout visuel, faisant appel à la sensibilité et aux émotions</w:t>
      </w:r>
      <w:r w:rsidR="009D5E7E">
        <w:t>,</w:t>
      </w:r>
      <w:r w:rsidR="00832D51">
        <w:t xml:space="preserve"> en reléguant au second rang le discours érudit pédagogique. Le visiteur n’est pas là pour apprendre mais pour ressentir. Il entre dans un véritable cabinet de curiosité</w:t>
      </w:r>
      <w:r w:rsidR="0044679B">
        <w:t>s</w:t>
      </w:r>
      <w:r w:rsidR="00832D51">
        <w:t xml:space="preserve"> qui mêle œuvres d’art contemporain, céramiques chinoises, </w:t>
      </w:r>
      <w:r w:rsidR="009D5E7E">
        <w:t>reliefs égyptiens</w:t>
      </w:r>
      <w:r>
        <w:t xml:space="preserve"> … D</w:t>
      </w:r>
      <w:r w:rsidR="009D5E7E">
        <w:t>ans cette profusion hétéroclite, p</w:t>
      </w:r>
      <w:r w:rsidR="00832D51">
        <w:t xml:space="preserve">as même un cartel à côté des œuvres </w:t>
      </w:r>
      <w:r w:rsidR="009D5E7E">
        <w:t xml:space="preserve"> </w:t>
      </w:r>
      <w:r>
        <w:t xml:space="preserve">ne </w:t>
      </w:r>
      <w:r w:rsidR="009D5E7E">
        <w:t>permet de les identifier</w:t>
      </w:r>
      <w:r w:rsidR="00832D51">
        <w:t xml:space="preserve">. Seul un petit livret peut être remis au visiteur </w:t>
      </w:r>
      <w:r w:rsidR="009D5E7E">
        <w:t xml:space="preserve">obstiné, désireux d’être informé sur la nature des objets qui lui </w:t>
      </w:r>
      <w:r w:rsidR="009D5E7E">
        <w:lastRenderedPageBreak/>
        <w:t xml:space="preserve">sont présentés. Nous sommes loin de la surinformation, de la </w:t>
      </w:r>
      <w:proofErr w:type="spellStart"/>
      <w:r w:rsidR="009D5E7E">
        <w:t>recontextualisation</w:t>
      </w:r>
      <w:proofErr w:type="spellEnd"/>
      <w:r w:rsidR="009D5E7E">
        <w:t xml:space="preserve"> des œuvres qu’introduisent les technologies du numérique.</w:t>
      </w:r>
      <w:r w:rsidR="0044679B">
        <w:t xml:space="preserve"> Il s’agit ici d’une exposition à vivre, d’une véritable expérience  de la confrontation au mystère des œuvres dépossédées de leur contexte et en cela disponibles à d’étranges et fructueuses confrontations.</w:t>
      </w:r>
      <w:r w:rsidR="008F41DE">
        <w:t xml:space="preserve">  </w:t>
      </w:r>
    </w:p>
    <w:p w:rsidR="008F41DE" w:rsidRPr="008F41DE" w:rsidRDefault="00E7626D" w:rsidP="008F41DE">
      <w:pPr>
        <w:ind w:firstLine="0"/>
      </w:pPr>
      <w:r>
        <w:t xml:space="preserve">      </w:t>
      </w:r>
      <w:r w:rsidR="008F41DE">
        <w:t xml:space="preserve">D’associations en dissociations, </w:t>
      </w:r>
      <w:r w:rsidR="008F41DE" w:rsidRPr="008F41DE">
        <w:t>l’anthologie qui est une collection choisie, serait « la forme et le format par excellence de la civilisation numérique »</w:t>
      </w:r>
      <w:r w:rsidR="00B4686D">
        <w:rPr>
          <w:rStyle w:val="Appelnotedebasdep"/>
        </w:rPr>
        <w:footnoteReference w:id="8"/>
      </w:r>
      <w:r w:rsidR="008F41DE" w:rsidRPr="008F41DE">
        <w:t xml:space="preserve"> dans laquelle « la fragmentation des incarnations de l’identité numérique accompagne ainsi une </w:t>
      </w:r>
      <w:proofErr w:type="spellStart"/>
      <w:r w:rsidR="008F41DE" w:rsidRPr="008F41DE">
        <w:t>anthologisation</w:t>
      </w:r>
      <w:proofErr w:type="spellEnd"/>
      <w:r w:rsidR="008F41DE" w:rsidRPr="008F41DE">
        <w:t xml:space="preserve"> du savoir dans l’environnement numérique »</w:t>
      </w:r>
      <w:r w:rsidR="00D52745">
        <w:rPr>
          <w:rStyle w:val="Appelnotedebasdep"/>
        </w:rPr>
        <w:footnoteReference w:id="9"/>
      </w:r>
      <w:r w:rsidR="008F41DE" w:rsidRPr="008F41DE">
        <w:t xml:space="preserve"> dans lequel  « l’utilisateur a maintenant la possibilité d’organiser une constellation d’éléments afin de former une unité »</w:t>
      </w:r>
      <w:r w:rsidR="008F41DE" w:rsidRPr="008F41DE">
        <w:rPr>
          <w:rFonts w:ascii="Garamond" w:eastAsia="Garamond" w:hAnsi="Garamond" w:cs="Garamond"/>
          <w:sz w:val="24"/>
          <w:u w:val="single"/>
          <w:vertAlign w:val="superscript"/>
        </w:rPr>
        <w:footnoteReference w:id="10"/>
      </w:r>
      <w:r w:rsidR="008F41DE" w:rsidRPr="008F41DE">
        <w:t xml:space="preserve">. </w:t>
      </w:r>
    </w:p>
    <w:p w:rsidR="008F41DE" w:rsidRPr="008F41DE" w:rsidRDefault="008F41DE" w:rsidP="008F41DE">
      <w:pPr>
        <w:ind w:firstLine="0"/>
      </w:pPr>
      <w:r w:rsidRPr="008F41DE">
        <w:t xml:space="preserve">      Nous comparerons cette toute-puissance de l’internaute, spectateur émancipé, à celle du commissaire d’exposition, de l’anthologie qu’il donne à voir et du succès que remporte une exposition comme celle de La Maison rouge intitulée  « Le théâtre du monde », </w:t>
      </w:r>
      <w:r w:rsidR="00AC7E00">
        <w:t>l’</w:t>
      </w:r>
      <w:r w:rsidRPr="008F41DE">
        <w:t>anthologie de Jean-Hubert Martin</w:t>
      </w:r>
      <w:r>
        <w:t xml:space="preserve"> que nous venons d’évoquer.</w:t>
      </w:r>
      <w:r w:rsidRPr="008F41DE">
        <w:t xml:space="preserve"> </w:t>
      </w:r>
    </w:p>
    <w:p w:rsidR="008F41DE" w:rsidRDefault="008F41DE" w:rsidP="008F41DE">
      <w:pPr>
        <w:ind w:firstLine="0"/>
      </w:pPr>
      <w:r>
        <w:t xml:space="preserve">     </w:t>
      </w:r>
    </w:p>
    <w:p w:rsidR="00211795" w:rsidRDefault="00F663D5" w:rsidP="00E7626D">
      <w:pPr>
        <w:ind w:firstLine="0"/>
      </w:pPr>
      <w:r>
        <w:rPr>
          <w:b/>
          <w:sz w:val="24"/>
        </w:rPr>
        <w:t>2-Une jouissance détachée de la possession</w:t>
      </w:r>
    </w:p>
    <w:p w:rsidR="00211795" w:rsidRDefault="00211795"/>
    <w:p w:rsidR="00211795" w:rsidRPr="009815F6" w:rsidRDefault="00F663D5" w:rsidP="001954F9">
      <w:r>
        <w:t>Comme le montre également Malraux</w:t>
      </w:r>
      <w:r w:rsidRPr="009815F6">
        <w:t>, le musée  - et ce que rend  possible la  représentation photographique des œuvres - nous a habitué</w:t>
      </w:r>
      <w:r w:rsidR="001954F9" w:rsidRPr="009815F6">
        <w:t>s</w:t>
      </w:r>
      <w:r w:rsidRPr="009815F6">
        <w:t xml:space="preserve"> à une relation intellectuelle avec l’art, </w:t>
      </w:r>
      <w:proofErr w:type="gramStart"/>
      <w:r w:rsidRPr="009815F6">
        <w:t>détachée</w:t>
      </w:r>
      <w:proofErr w:type="gramEnd"/>
      <w:r w:rsidRPr="009815F6">
        <w:t xml:space="preserve"> de toute p</w:t>
      </w:r>
      <w:r w:rsidR="001954F9" w:rsidRPr="009815F6">
        <w:t>ossession, de toute frustration.</w:t>
      </w:r>
      <w:r w:rsidRPr="009815F6">
        <w:t xml:space="preserve"> </w:t>
      </w:r>
    </w:p>
    <w:p w:rsidR="00211795" w:rsidRDefault="001954F9">
      <w:r>
        <w:t>« </w:t>
      </w:r>
      <w:r w:rsidR="00F663D5">
        <w:t xml:space="preserve">Nous ne possédons pas les œuvres dont nous admirons la reproduction (presque toutes se trouvent dans des musées), et </w:t>
      </w:r>
      <w:r w:rsidR="00F663D5">
        <w:lastRenderedPageBreak/>
        <w:t xml:space="preserve">nous savons que nous ne les possèderons jamais, que nous n’en possèderons jamais de semblables. </w:t>
      </w:r>
      <w:r w:rsidR="00F663D5" w:rsidRPr="009815F6">
        <w:t>Elles sont nôtres parce que nous sommes artistes, comme les statues de saints médiévales appartenaient au peuple fidèle parce qu’il était chrétien(…) cette indifférence à la possession, qui, pour nous, délivre l’œuvre d’art de son caractère d’objet d’art, nous rend plus sensibles que les amateurs d’objets d’art à la p</w:t>
      </w:r>
      <w:r w:rsidRPr="009815F6">
        <w:t>résence de l’accent de création (…)</w:t>
      </w:r>
      <w:r w:rsidR="00F663D5" w:rsidRPr="009815F6">
        <w:t xml:space="preserve"> Le monde des photographies n’est que le serviteur du monde des originaux sans doute ; pourtant moins séduisant ou moins émouvant, beaucoup plus intellectuel, il semble révéler au sens qu’à ce mot en photographie, l’acte créateur. »</w:t>
      </w:r>
      <w:r w:rsidR="00F663D5" w:rsidRPr="009815F6">
        <w:rPr>
          <w:rFonts w:ascii="Garamond" w:eastAsia="Garamond" w:hAnsi="Garamond" w:cs="Garamond"/>
          <w:sz w:val="24"/>
          <w:u w:val="single"/>
          <w:vertAlign w:val="superscript"/>
        </w:rPr>
        <w:footnoteReference w:id="11"/>
      </w:r>
    </w:p>
    <w:p w:rsidR="0061656E" w:rsidRDefault="0061656E" w:rsidP="0061656E">
      <w:r>
        <w:t>Incontestablement l’approche de l’œuvre d’art a été radicalement modifiée par la photographie. De l ‘ « humble servante des arts »</w:t>
      </w:r>
      <w:r w:rsidR="00222230">
        <w:rPr>
          <w:rStyle w:val="Appelnotedebasdep"/>
        </w:rPr>
        <w:footnoteReference w:id="12"/>
      </w:r>
      <w:r>
        <w:t xml:space="preserve">, rôle assigné par Charles Baudelaire à la photo comme simple moyen de reproduction technique, au concept de </w:t>
      </w:r>
      <w:proofErr w:type="spellStart"/>
      <w:r>
        <w:t>Thürlemann</w:t>
      </w:r>
      <w:proofErr w:type="spellEnd"/>
      <w:r w:rsidR="00D52745">
        <w:t xml:space="preserve"> </w:t>
      </w:r>
      <w:r>
        <w:t>d’</w:t>
      </w:r>
      <w:proofErr w:type="spellStart"/>
      <w:r>
        <w:t>hyperimage</w:t>
      </w:r>
      <w:proofErr w:type="spellEnd"/>
      <w:r w:rsidR="006E43A0">
        <w:rPr>
          <w:rStyle w:val="Appelnotedebasdep"/>
        </w:rPr>
        <w:footnoteReference w:id="13"/>
      </w:r>
      <w:r>
        <w:t>, l’Atlas d’</w:t>
      </w:r>
      <w:proofErr w:type="spellStart"/>
      <w:r>
        <w:t>Aby</w:t>
      </w:r>
      <w:proofErr w:type="spellEnd"/>
      <w:r>
        <w:t xml:space="preserve"> Warburg</w:t>
      </w:r>
      <w:r w:rsidR="006E43A0">
        <w:rPr>
          <w:rStyle w:val="Appelnotedebasdep"/>
        </w:rPr>
        <w:footnoteReference w:id="14"/>
      </w:r>
      <w:r>
        <w:t>, la théorie de Walter Benjamin</w:t>
      </w:r>
      <w:r w:rsidR="006E43A0">
        <w:rPr>
          <w:rStyle w:val="Appelnotedebasdep"/>
        </w:rPr>
        <w:footnoteReference w:id="15"/>
      </w:r>
      <w:r w:rsidR="00D52745">
        <w:t xml:space="preserve"> sur la reproductibili</w:t>
      </w:r>
      <w:r>
        <w:t xml:space="preserve">té de l’image puis les productions de Didi </w:t>
      </w:r>
      <w:proofErr w:type="spellStart"/>
      <w:r w:rsidRPr="009B3DFA">
        <w:t>Huberman</w:t>
      </w:r>
      <w:proofErr w:type="spellEnd"/>
      <w:r w:rsidR="00B948A3" w:rsidRPr="009B3DFA">
        <w:rPr>
          <w:rStyle w:val="Appelnotedebasdep"/>
        </w:rPr>
        <w:footnoteReference w:id="16"/>
      </w:r>
      <w:r w:rsidRPr="009B3DFA">
        <w:t xml:space="preserve"> et d’Armand </w:t>
      </w:r>
      <w:proofErr w:type="spellStart"/>
      <w:r w:rsidRPr="009B3DFA">
        <w:t>Gisinger</w:t>
      </w:r>
      <w:proofErr w:type="spellEnd"/>
      <w:r w:rsidR="00B948A3" w:rsidRPr="009B3DFA">
        <w:rPr>
          <w:rStyle w:val="Appelnotedebasdep"/>
        </w:rPr>
        <w:footnoteReference w:id="17"/>
      </w:r>
      <w:r w:rsidRPr="009B3DFA">
        <w:t>, n’ont cessé d’interroger</w:t>
      </w:r>
      <w:r>
        <w:t xml:space="preserve"> </w:t>
      </w:r>
      <w:r>
        <w:lastRenderedPageBreak/>
        <w:t>les rapports complexes de la photographie à l’œuvre d’art principalement comme une opposition frontale entre œuvre originale et la multiplicité protéiforme de l’œuvre reproductible qu’est l’image. Cet affrontement</w:t>
      </w:r>
      <w:r w:rsidR="005A605C">
        <w:t>, né avec le medium lu</w:t>
      </w:r>
      <w:r w:rsidR="006E43A0">
        <w:t>i</w:t>
      </w:r>
      <w:r w:rsidR="005A605C">
        <w:t>-</w:t>
      </w:r>
      <w:r>
        <w:t xml:space="preserve"> même</w:t>
      </w:r>
      <w:r w:rsidR="005A605C">
        <w:t>,</w:t>
      </w:r>
      <w:r>
        <w:t xml:space="preserve"> aura pour mérite de déplacer les hiérarchies esthétiques et d’ébranler le statut de l’œuvre comme création unique.</w:t>
      </w:r>
    </w:p>
    <w:p w:rsidR="00A45577" w:rsidRDefault="00A45577" w:rsidP="00A45577">
      <w:r>
        <w:t xml:space="preserve">Si André Malraux s’appuie sur la photo pour dérouler l’histoire de l’art et construire son musée imaginaire, </w:t>
      </w:r>
      <w:proofErr w:type="spellStart"/>
      <w:r>
        <w:t>Aby</w:t>
      </w:r>
      <w:proofErr w:type="spellEnd"/>
      <w:r>
        <w:t xml:space="preserve"> Warburg en utilisant l’image sous toutes ses formes, pour collectionner les traces de la mémoire sociale selon différentes combinaisons, fait moins œuvre d’encyclopédie que de théorie sur la culture en ouvrant un champ vaste qui continue de nous occuper encore aujourd’hui. Ainsi Félix </w:t>
      </w:r>
      <w:proofErr w:type="spellStart"/>
      <w:r>
        <w:t>Thürlemann</w:t>
      </w:r>
      <w:proofErr w:type="spellEnd"/>
      <w:r>
        <w:t xml:space="preserve"> montre à quel point l’image devient une « productrice prolifique d’</w:t>
      </w:r>
      <w:proofErr w:type="spellStart"/>
      <w:r>
        <w:t>hyperimages</w:t>
      </w:r>
      <w:proofErr w:type="spellEnd"/>
      <w:r>
        <w:t xml:space="preserve"> par le jeu auquel se livrent artistes, conservateurs, commissaires d’exposition, historiens de l’art, en arrangeant, recadrant, décadrant, assemblant, superposant des ensembles éphémères d’images qui conduisent à chaque fois à de nouvelles interprétations de l’œuvre et du monde »</w:t>
      </w:r>
      <w:r w:rsidR="00B948A3">
        <w:rPr>
          <w:rStyle w:val="Appelnotedebasdep"/>
        </w:rPr>
        <w:footnoteReference w:id="18"/>
      </w:r>
      <w:r>
        <w:t xml:space="preserve">. Le montage d’images devient ainsi une forme spécifique d’un savoir sur le monde. </w:t>
      </w:r>
    </w:p>
    <w:p w:rsidR="00A45577" w:rsidRDefault="00A45577" w:rsidP="00A45577">
      <w:r>
        <w:t xml:space="preserve"> Walter Benjamin</w:t>
      </w:r>
      <w:r w:rsidR="00B948A3">
        <w:rPr>
          <w:rStyle w:val="Appelnotedebasdep"/>
        </w:rPr>
        <w:footnoteReference w:id="19"/>
      </w:r>
      <w:r>
        <w:t xml:space="preserve"> parle du passage de la valeur cultuelle de l’œuvre (fresques préhistoriques et art religieux…) à sa valeur culturelle qui oblige à l’extraire de son contexte pour la donner à voir autrement. Il évoque à ce propos le déclin de son aura et la </w:t>
      </w:r>
      <w:proofErr w:type="spellStart"/>
      <w:r>
        <w:t>profanisation</w:t>
      </w:r>
      <w:proofErr w:type="spellEnd"/>
      <w:r>
        <w:t xml:space="preserve"> de l’image  dans l’exposition.  Ce qui nous conduit à nous interroger sur l’incomplétude du musée et ses enjeux de </w:t>
      </w:r>
      <w:proofErr w:type="spellStart"/>
      <w:r>
        <w:t>décontextualisation</w:t>
      </w:r>
      <w:proofErr w:type="spellEnd"/>
      <w:r>
        <w:t>/</w:t>
      </w:r>
      <w:proofErr w:type="spellStart"/>
      <w:r>
        <w:t>recontextualisation</w:t>
      </w:r>
      <w:proofErr w:type="spellEnd"/>
      <w:r>
        <w:t xml:space="preserve"> par la muséographie et l’exposition.</w:t>
      </w:r>
    </w:p>
    <w:p w:rsidR="00A45577" w:rsidRDefault="00E7626D" w:rsidP="00E7626D">
      <w:pPr>
        <w:ind w:firstLine="0"/>
      </w:pPr>
      <w:r>
        <w:t xml:space="preserve">      </w:t>
      </w:r>
      <w:r w:rsidR="00A45577">
        <w:t xml:space="preserve">Cela reviendrait à « refouler les tensions inquiétantes et les contradictions redoutables dont les images sont pétries : une </w:t>
      </w:r>
      <w:r w:rsidR="00A45577">
        <w:lastRenderedPageBreak/>
        <w:t xml:space="preserve">fois en les isolant dans un domaine spécialisé, </w:t>
      </w:r>
      <w:proofErr w:type="spellStart"/>
      <w:r w:rsidR="00A45577">
        <w:t>reclos</w:t>
      </w:r>
      <w:proofErr w:type="spellEnd"/>
      <w:r w:rsidR="00A45577">
        <w:t>, académique, une façon de soustraire les œuvres d’art aux processus vivants et de diminuer leurs effets complexes, ce qui revient à couper les images de leur nécessité anthropologique même. Une autre</w:t>
      </w:r>
      <w:r w:rsidR="00686A0E">
        <w:t xml:space="preserve"> </w:t>
      </w:r>
      <w:r w:rsidR="00A45577">
        <w:t>fois en réduisant leur temporalité à un simple chapelet de chefs d’œuvre. Aliéner l’histoire de l’art à un grand concours de beauté » que l’auteur Carl Einstein qualifie de « bureaucratie des émotions »</w:t>
      </w:r>
      <w:r w:rsidR="009D61D4">
        <w:rPr>
          <w:rStyle w:val="Appelnotedebasdep"/>
        </w:rPr>
        <w:footnoteReference w:id="20"/>
      </w:r>
      <w:r w:rsidR="009D61D4">
        <w:t xml:space="preserve">. </w:t>
      </w:r>
    </w:p>
    <w:p w:rsidR="00686A0E" w:rsidRDefault="00686A0E" w:rsidP="00A45577"/>
    <w:p w:rsidR="00211795" w:rsidRDefault="00F663D5">
      <w:pPr>
        <w:ind w:firstLine="0"/>
        <w:rPr>
          <w:b/>
        </w:rPr>
      </w:pPr>
      <w:r>
        <w:rPr>
          <w:b/>
        </w:rPr>
        <w:t xml:space="preserve">3- Une dépossession hiérarchique : le partage des compétences </w:t>
      </w:r>
    </w:p>
    <w:p w:rsidR="00686A0E" w:rsidRDefault="00686A0E">
      <w:pPr>
        <w:ind w:firstLine="0"/>
        <w:rPr>
          <w:b/>
        </w:rPr>
      </w:pPr>
    </w:p>
    <w:p w:rsidR="00686A0E" w:rsidRDefault="00686A0E" w:rsidP="00686A0E">
      <w:r>
        <w:t>Nous approchons ici deux questions essentielles liées à l’exponentielle diffusion des œuvres sur la toile qui modifie en profondeur notre rapport aux images et sans doute les frontières de plus en plus poreuses entre ceux qui les produisent, l’institution, et ceux qui les « consomment », nous : l’accès quasi illimité aux œuvres par l’image ne favorise-t-il pas davantage le partage d</w:t>
      </w:r>
      <w:r w:rsidR="00F74293">
        <w:t xml:space="preserve">u  processus </w:t>
      </w:r>
      <w:proofErr w:type="gramStart"/>
      <w:r w:rsidR="00F74293">
        <w:t xml:space="preserve">créatif </w:t>
      </w:r>
      <w:r>
        <w:t> ?</w:t>
      </w:r>
      <w:proofErr w:type="gramEnd"/>
      <w:r>
        <w:t xml:space="preserve"> Autrement dit l’accès immatériel et libéré de toutes contraintes liées à l’intégrité des œuvres n’aboutit –il pas à de nouvelles explorations qui placent le visiteur du côté de l’expert ? Cette technologie ne donne- t-elle pas accès aux espaces réservés jusqu’à là au professionnel, chercheur ou conservateur ?</w:t>
      </w:r>
    </w:p>
    <w:p w:rsidR="00686A0E" w:rsidRDefault="00CC4B6F" w:rsidP="00CC4B6F">
      <w:pPr>
        <w:ind w:firstLine="0"/>
      </w:pPr>
      <w:r>
        <w:t xml:space="preserve">       </w:t>
      </w:r>
      <w:r w:rsidR="00686A0E">
        <w:t>Dans le même temps on peut se demander si la prégnance de cette approche virtuelle de l’œuvre et toutes les formes d’appropriation et de manipulation qu’elle permet à l’usager n’obère pas de nouveaux protocoles d’exposition et de muséographie dans lesquels le conservateur ou le commissaire perd</w:t>
      </w:r>
      <w:r w:rsidR="00F74293">
        <w:t>ent</w:t>
      </w:r>
      <w:r w:rsidR="00686A0E">
        <w:t xml:space="preserve"> </w:t>
      </w:r>
      <w:r w:rsidR="00F74293">
        <w:t>leur</w:t>
      </w:r>
      <w:r w:rsidR="00686A0E">
        <w:t xml:space="preserve"> posture d’aut</w:t>
      </w:r>
      <w:r w:rsidR="00F74293">
        <w:t>orité en dévoilant leurs tâtonnements plus que leurs</w:t>
      </w:r>
      <w:r w:rsidR="00686A0E">
        <w:t xml:space="preserve"> certitudes, en reconnaissant que le savoir est mouvant plus qu’établi une fois pour toutes ? L’éclatement, la fragmentation des connaissances en circulation sur le net </w:t>
      </w:r>
      <w:r w:rsidR="00686A0E">
        <w:lastRenderedPageBreak/>
        <w:t xml:space="preserve">n’obligent-ils pas à admettre non seulement l’incomplétude du musée mais aussi  l’aspect aléatoire et provisoire de son discours ? </w:t>
      </w:r>
    </w:p>
    <w:p w:rsidR="00CC4B6F" w:rsidRDefault="00CC4B6F" w:rsidP="00CC4B6F">
      <w:r>
        <w:t xml:space="preserve">Didi </w:t>
      </w:r>
      <w:proofErr w:type="spellStart"/>
      <w:r>
        <w:t>Huberman</w:t>
      </w:r>
      <w:proofErr w:type="spellEnd"/>
      <w:r>
        <w:t xml:space="preserve"> souligne à ce propos</w:t>
      </w:r>
      <w:r>
        <w:rPr>
          <w:rStyle w:val="Appelnotedebasdep"/>
        </w:rPr>
        <w:footnoteReference w:id="21"/>
      </w:r>
      <w:r>
        <w:t xml:space="preserve"> que lorsque de nouvelles questions surgissent, elles induisent inévitablement de nouvelles formes. « Faire forme » dans ce contexte renverrait à la capacité de rendre sensible, d’incarner ces nouvelles questions sous la forme évolutive de ce qu’il qualifie d’ « essai visuel » comme c’est le cas pour l’exposition « Nouvelles histoires de fantômes » présentée actuellement au Palais de Tokyo et qui est la déclinaison d’un projet plus vaste,  « Atlas, comment porter le monde sur ses épaules ? » sur laquelle nous reviendrons parce qu’elle marque une rupture sur la présentation des images et fait voler en éclat les statuts et les hiérarchies comme un processus en marche depuis longtemps, qui prend vraiment forme ici.</w:t>
      </w:r>
    </w:p>
    <w:p w:rsidR="00CC4B6F" w:rsidRDefault="00CC4B6F" w:rsidP="00CC4B6F">
      <w:pPr>
        <w:ind w:firstLine="0"/>
      </w:pPr>
      <w:r>
        <w:t xml:space="preserve">  </w:t>
      </w:r>
      <w:r w:rsidR="00E7626D">
        <w:t xml:space="preserve">     </w:t>
      </w:r>
      <w:r>
        <w:t>Lorsque Walter Benjamin décrit le processus et les effets de la reproductibilité technique de l’œuvre d’art par la photo, ses questions et ses observations sont très proches de celles que nous faisons aujourd’hui avec le numérique et les réseaux. Notamment les enjeux d’appropriation, de détournement et d’expertise : « Cela commença quand la presse quotidienne ouvrit ses colonnes aux courriers du lecteur, et on en est arrivés au point qu’aujourd’hui aucun Européen (…) ne sache publier une expérience, une plainte, un reportage ou d’autres choses de ce genre (…). Par là, la distinction entre l’auteur et son public est sur le point de perdre son statut fondamental. Le lecteur est prêt à tout moment à devenir écrivain. »</w:t>
      </w:r>
      <w:r>
        <w:rPr>
          <w:rStyle w:val="Appelnotedebasdep"/>
        </w:rPr>
        <w:footnoteReference w:id="22"/>
      </w:r>
      <w:r>
        <w:t xml:space="preserve">  Ce qui caractérise alors le comportement progressiste c’est que le plaisir de regarder et d’éprouver se confond immédiatement et profondément avec l’attitude du spéciali</w:t>
      </w:r>
      <w:r w:rsidR="008F41DE">
        <w:t>ste, à même de juger. »</w:t>
      </w:r>
      <w:r w:rsidR="008F41DE">
        <w:rPr>
          <w:rStyle w:val="Appelnotedebasdep"/>
        </w:rPr>
        <w:footnoteReference w:id="23"/>
      </w:r>
    </w:p>
    <w:p w:rsidR="00CC4B6F" w:rsidRDefault="00E7626D" w:rsidP="00E7626D">
      <w:pPr>
        <w:ind w:firstLine="0"/>
      </w:pPr>
      <w:r>
        <w:lastRenderedPageBreak/>
        <w:t xml:space="preserve">      </w:t>
      </w:r>
      <w:r w:rsidR="00CC4B6F">
        <w:t xml:space="preserve">Non seulement aujourd’hui l’autorisation de prendre des photographies dans la plupart des musées permet de témoigner de son expérience de visite sur ses réseaux mais le dialogue informel qui circule invite à donner son point de vue de façon assez décomplexée et beaucoup moins intimidante que d’écrire dans le livre d’or. Au-delà, certains se livreront à des actes modestes de création en réinjectant œuvres et images lors de montages personnels, d’albums, de fonds d’écran. Autant de démarches de détournement et d’appropriation qui font œuvre de création même modeste à partir des œuvres d’art devenues accessibles. Entre sélectionner des sites de musée ou d’artistes en listing de favoris sur son ordinateur et réaliser des montages élaborés, il existe aujourd’hui un panel vertigineux d’appropriations et de créations à des fins scientifiques ou de divertissement, rendu possible par un libre accès aux œuvres longtemps protégées. </w:t>
      </w:r>
    </w:p>
    <w:p w:rsidR="00CC4B6F" w:rsidRDefault="00E7626D" w:rsidP="00E7626D">
      <w:pPr>
        <w:ind w:firstLine="0"/>
      </w:pPr>
      <w:r>
        <w:t xml:space="preserve">     </w:t>
      </w:r>
      <w:proofErr w:type="spellStart"/>
      <w:r w:rsidR="00CC4B6F">
        <w:t>Muséomix</w:t>
      </w:r>
      <w:proofErr w:type="spellEnd"/>
      <w:r w:rsidR="00CC4B6F">
        <w:t xml:space="preserve"> dans un registre plus formalisé illustre cette nouvelle approche des collections qui n’est plus l’apanage des conservateurs et commissaires d’exposition. Une équipe éphémère de graphistes, programmeurs, passionnés de nouvelles technologies, grands connaisseurs de logiciels, adeptes des réseaux sociaux, hackers, </w:t>
      </w:r>
      <w:proofErr w:type="spellStart"/>
      <w:r w:rsidR="00CC4B6F">
        <w:t>bloggers</w:t>
      </w:r>
      <w:proofErr w:type="spellEnd"/>
      <w:r w:rsidR="00CC4B6F">
        <w:t xml:space="preserve">,  prend la main, pendant trois jours,  sur une collection et en livre sa propre interprétation en toute autonomie. Un grand jeu en somme pour « remixer » des institutions plusieurs fois centenaires. </w:t>
      </w:r>
    </w:p>
    <w:p w:rsidR="00604735" w:rsidRDefault="00E7626D" w:rsidP="00604735">
      <w:pPr>
        <w:ind w:firstLine="0"/>
      </w:pPr>
      <w:r>
        <w:t xml:space="preserve">      </w:t>
      </w:r>
      <w:r w:rsidR="00CC4B6F">
        <w:t xml:space="preserve">En quelques mois, via les réseaux sociaux et leurs contacts dans le monde de la culture, les organisateurs de </w:t>
      </w:r>
      <w:proofErr w:type="spellStart"/>
      <w:r w:rsidR="00CC4B6F">
        <w:t>Museomix</w:t>
      </w:r>
      <w:proofErr w:type="spellEnd"/>
      <w:r w:rsidR="00CC4B6F">
        <w:t xml:space="preserve">,   à l’image de Samuel </w:t>
      </w:r>
      <w:proofErr w:type="spellStart"/>
      <w:r w:rsidR="00CC4B6F">
        <w:t>Bausson</w:t>
      </w:r>
      <w:proofErr w:type="spellEnd"/>
      <w:r w:rsidR="00CC4B6F">
        <w:t xml:space="preserve">, webmaster du Muséum de Toulouse et Diane </w:t>
      </w:r>
      <w:proofErr w:type="spellStart"/>
      <w:r w:rsidR="00CC4B6F">
        <w:t>Dubray</w:t>
      </w:r>
      <w:proofErr w:type="spellEnd"/>
      <w:r w:rsidR="00CC4B6F">
        <w:t xml:space="preserve"> de l’agence de stratégie culturelle </w:t>
      </w:r>
      <w:proofErr w:type="spellStart"/>
      <w:r w:rsidR="00CC4B6F">
        <w:t>Buzzeum</w:t>
      </w:r>
      <w:proofErr w:type="spellEnd"/>
      <w:r w:rsidR="00CC4B6F">
        <w:t>, ont lancé l’appel suivant aux musées : « Êtes-vous prêts à vous confronter aux idées et outils du XXIe siècle ? ». Une quinzaine d’établissements ont répondu positivement…</w:t>
      </w:r>
      <w:r w:rsidR="00604735">
        <w:t xml:space="preserve">  </w:t>
      </w:r>
    </w:p>
    <w:p w:rsidR="00604735" w:rsidRDefault="00604735" w:rsidP="00604735">
      <w:pPr>
        <w:ind w:firstLine="0"/>
      </w:pPr>
      <w:r>
        <w:t xml:space="preserve">    Que devient le musée lorsque l’imaginaire déborde ses murs, lorsque le savoir n’est plus établi immuablement par l’expert, le </w:t>
      </w:r>
      <w:r>
        <w:lastRenderedPageBreak/>
        <w:t>conservateur, mais est  donné à construire individuellement puis collectivement </w:t>
      </w:r>
      <w:r>
        <w:rPr>
          <w:rStyle w:val="Appelnotedebasdep"/>
        </w:rPr>
        <w:footnoteReference w:id="24"/>
      </w:r>
      <w:r>
        <w:t xml:space="preserve">? </w:t>
      </w:r>
    </w:p>
    <w:p w:rsidR="00604735" w:rsidRDefault="00604735" w:rsidP="00604735">
      <w:pPr>
        <w:ind w:firstLine="0"/>
      </w:pPr>
      <w:r>
        <w:t xml:space="preserve">     Certes, le </w:t>
      </w:r>
      <w:r w:rsidRPr="00604735">
        <w:t>« spectateur émancipé »</w:t>
      </w:r>
      <w:r w:rsidRPr="00604735">
        <w:rPr>
          <w:rStyle w:val="Appelnotedebasdep"/>
        </w:rPr>
        <w:footnoteReference w:id="25"/>
      </w:r>
      <w:r>
        <w:t xml:space="preserve"> n’a pas attendu les possibilités  que lui offrent les techniques du numérique, mais celles-ci  facilitent considérablement le processus d’appropriation personnelle de l’œuvre. </w:t>
      </w:r>
    </w:p>
    <w:p w:rsidR="00CC4B6F" w:rsidRDefault="00604735" w:rsidP="00E7626D">
      <w:pPr>
        <w:ind w:firstLine="0"/>
      </w:pPr>
      <w:r>
        <w:t xml:space="preserve">     </w:t>
      </w:r>
      <w:r w:rsidR="00CC4B6F">
        <w:t xml:space="preserve">Didi </w:t>
      </w:r>
      <w:proofErr w:type="spellStart"/>
      <w:r w:rsidR="00CC4B6F">
        <w:t>Huberman</w:t>
      </w:r>
      <w:proofErr w:type="spellEnd"/>
      <w:r w:rsidR="00CC4B6F">
        <w:t xml:space="preserve"> évoque pour notre période, la libération  d’un inconscient visuel qui brasse, retient, évacue, s’approprie l’image. Les techniques d’édition, de publication réservées aux professionnels et qui permettaient d’établir une distinction entre travaux d’amateur et d’artistes, sont aujourd’hui largement accessibles à tous. </w:t>
      </w:r>
    </w:p>
    <w:p w:rsidR="00CC4B6F" w:rsidRDefault="00E7626D" w:rsidP="00E7626D">
      <w:pPr>
        <w:ind w:firstLine="0"/>
      </w:pPr>
      <w:r>
        <w:t xml:space="preserve">     </w:t>
      </w:r>
      <w:r w:rsidR="00CC4B6F">
        <w:t xml:space="preserve">L’acte créatif devient un enjeu de connaissance et une source d’intérêt. Il relève d’une nouvelle curiosité des publics qui ont le sentiment d’accéder ainsi plus facilement au sens de l’œuvre en ayant le privilège de partager les étapes mystérieuses et restées longtemps opaques de la création.  Ce partage d’expérience relève véritablement d’une politique d’un plus grand accès à la culture. Il vaut dans les deux sens : chacun peut accéder à la valorisation de ses créations en ligne sans passer sous les fourches caudines de l’institution culturelle et l’institution diffuse hors les murs, sur son site, un discours qui tend à défendre et éclairer le travail des artistes qu’elle présente. Les espaces collaboratifs entre particuliers et équipe scientifique de musée se multiplient. On évoque des choix participatifs de programmation ou de </w:t>
      </w:r>
      <w:proofErr w:type="spellStart"/>
      <w:r w:rsidR="00CC4B6F">
        <w:t>co</w:t>
      </w:r>
      <w:proofErr w:type="spellEnd"/>
      <w:r w:rsidR="00CC4B6F">
        <w:t xml:space="preserve">-élaboration, domaine </w:t>
      </w:r>
      <w:proofErr w:type="spellStart"/>
      <w:r w:rsidR="00CC4B6F">
        <w:t>jusque là</w:t>
      </w:r>
      <w:proofErr w:type="spellEnd"/>
      <w:r w:rsidR="00CC4B6F">
        <w:t xml:space="preserve"> réservé du conservateur. Et même si ces initiatives restent encore marginales ou parfois anecdotiques, elles procèdent d’un mouvement plus vaste qui va bien dans le sens de la dilatation et du partage des connaissances que l’institution pourra de moins en moins « claquemurer ». Par conséquent, on observe que l’accès aux œuvres est déjà largement divulgué et que l’étape suivante qui s’amorce aujourd’hui est bien l’enjeu </w:t>
      </w:r>
      <w:r w:rsidR="00CC4B6F">
        <w:lastRenderedPageBreak/>
        <w:t>de la connaissance et notamment à travers la révélation du processus créatif.</w:t>
      </w:r>
    </w:p>
    <w:p w:rsidR="00BC5068" w:rsidRDefault="00E7626D" w:rsidP="00BC5068">
      <w:r>
        <w:t xml:space="preserve">      </w:t>
      </w:r>
      <w:r w:rsidR="00CC4B6F">
        <w:t>L’accès aux méandres de l’acte créatif ne saurait bien entendu se résumer à la pratique de navigation sur la toile ni au domaine de l’art. Musiciens, metteurs en scène sont déjà inscrits dans ce mouvement. Le travail de plateau est de plus en plus intégré à la mise en scène elle-même et les musées comme les galeries invitent régulièrement les artistes à créer une œuvre durant un vernissage ou un temps fort.</w:t>
      </w:r>
      <w:r w:rsidR="009B3DFA">
        <w:rPr>
          <w:rStyle w:val="Appelnotedebasdep"/>
        </w:rPr>
        <w:footnoteReference w:id="26"/>
      </w:r>
      <w:r w:rsidR="00CC4B6F">
        <w:t xml:space="preserve"> Pour autant, nous faisons l’hypothèse que les dynamiques engendrées par les réseaux ont des répercussions sur nos approches de la connaissance et sur notre rapport aux œuvres et ce, même en dehors de la toile. Si le processus artistique semble concerné en premier lieu, les enjeux de restitution le sont également et notamment le médium de l’exposition. </w:t>
      </w:r>
    </w:p>
    <w:p w:rsidR="00700044" w:rsidRDefault="00700044" w:rsidP="00700044">
      <w:r>
        <w:t>D’une façon générale, aujourd’hui, on parlera de muséologie de rupture voire d’accrochage aléatoire ou de désynchronisation aléatoire. Le Musée d’Ethnologie de Neufchâtel par exemple rend visible dans ses expositions, le cheminement intellectuel du conservateur dans les différentes étapes de conception de l’exposition. Le visiteur est donc invité à mettre ses pas dans ceux du conservateur pour éprouver à son tour les différentes phases de questionnement. Le conservateur se met à nu dans toute sa vulnérabilité scientifique en donnant à voir ses doutes, ses contradictions, la subjectivité de ses choix…</w:t>
      </w:r>
      <w:r w:rsidR="009B3DFA">
        <w:rPr>
          <w:rStyle w:val="Appelnotedebasdep"/>
        </w:rPr>
        <w:footnoteReference w:id="27"/>
      </w:r>
    </w:p>
    <w:p w:rsidR="00700044" w:rsidRDefault="00700044" w:rsidP="00700044">
      <w:r>
        <w:t>Si l’on considère que concevoir une exposition constitue bien une forme de création, nous assistons là également au dévoilement du proc</w:t>
      </w:r>
      <w:r w:rsidR="00F74293">
        <w:t>essus créatif. Ainsi l’équipe du Musée d’Ethnographie</w:t>
      </w:r>
      <w:r>
        <w:t xml:space="preserve"> </w:t>
      </w:r>
      <w:r w:rsidR="00F74293">
        <w:t xml:space="preserve">de </w:t>
      </w:r>
      <w:r>
        <w:t>Neufchâtel privilégie le questionnement, le dérangement l’</w:t>
      </w:r>
      <w:proofErr w:type="spellStart"/>
      <w:r>
        <w:t>intranquillité</w:t>
      </w:r>
      <w:proofErr w:type="spellEnd"/>
      <w:r>
        <w:t xml:space="preserve">. Son public doit élaborer son propre chemin dans un méandre de questions ouvertes et parfois élaborer lui-même les réponses. Dans l’exposition « Retour </w:t>
      </w:r>
      <w:r>
        <w:lastRenderedPageBreak/>
        <w:t>d’Angola »</w:t>
      </w:r>
      <w:r w:rsidR="00F773DD">
        <w:rPr>
          <w:rStyle w:val="Appelnotedebasdep"/>
        </w:rPr>
        <w:footnoteReference w:id="28"/>
      </w:r>
      <w:r>
        <w:t xml:space="preserve"> constituée d’objets africains prélevés lors d’une expédition suisse en 1933, le leitmotiv « il n’est pas à moi » obligeait le visiteur, loin de la délectation du bel objet, à se demander quel sens pouvait avoir un masque de cérémonie rituelle dans une vitrine helvétique. La conception d’un site partagée avec le pays d’origine de ces objets est venue depuis répondre partiellement à cette ques</w:t>
      </w:r>
      <w:r w:rsidR="00F773DD">
        <w:t xml:space="preserve">tion en restituant </w:t>
      </w:r>
      <w:r>
        <w:t xml:space="preserve">la collection </w:t>
      </w:r>
      <w:r w:rsidR="00F773DD">
        <w:t xml:space="preserve">via internet </w:t>
      </w:r>
      <w:r>
        <w:t>à la communauté qui l’avait produite</w:t>
      </w:r>
      <w:r w:rsidR="00F773DD">
        <w:t xml:space="preserve"> et en proposant une visite virtuelle de l'exposition</w:t>
      </w:r>
      <w:r>
        <w:t>.</w:t>
      </w:r>
      <w:r w:rsidR="00F773DD">
        <w:rPr>
          <w:rStyle w:val="Appelnotedebasdep"/>
        </w:rPr>
        <w:footnoteReference w:id="29"/>
      </w:r>
    </w:p>
    <w:p w:rsidR="00700044" w:rsidRDefault="00700044" w:rsidP="00700044">
      <w:pPr>
        <w:ind w:firstLine="0"/>
      </w:pPr>
      <w:r>
        <w:t xml:space="preserve">     </w:t>
      </w:r>
      <w:r w:rsidR="00F74293">
        <w:t xml:space="preserve">Antoine de </w:t>
      </w:r>
      <w:proofErr w:type="spellStart"/>
      <w:r w:rsidR="00F74293">
        <w:t>Gal</w:t>
      </w:r>
      <w:r>
        <w:t>bert</w:t>
      </w:r>
      <w:proofErr w:type="spellEnd"/>
      <w:r>
        <w:t xml:space="preserve"> annonce pour les 10 ans de la Maison Rouge</w:t>
      </w:r>
      <w:r w:rsidR="00700996">
        <w:rPr>
          <w:rStyle w:val="Appelnotedebasdep"/>
        </w:rPr>
        <w:footnoteReference w:id="30"/>
      </w:r>
      <w:r>
        <w:t xml:space="preserve">, un accrochage aléatoire de sa collection. Là encore, on peut imaginer que l’agencement des œuvres qui fait discours dans l’exposition et lui donne son sens, sera laissé à l’initiative du visiteur qui devra élaborer sa propre analyse et interpréter avec ses connaissances, sa sensibilité et sa subjectivité les œuvres et objets « livrés en vrac ». Il devra alors se mettre à la place du collectionneur pour tenter d’en comprendre la logique, les affinités et sans doute les incohérences. </w:t>
      </w:r>
    </w:p>
    <w:p w:rsidR="00700044" w:rsidRDefault="00700044" w:rsidP="00700044">
      <w:r>
        <w:t xml:space="preserve">Didi </w:t>
      </w:r>
      <w:proofErr w:type="spellStart"/>
      <w:r>
        <w:t>Huberman</w:t>
      </w:r>
      <w:proofErr w:type="spellEnd"/>
      <w:r>
        <w:t xml:space="preserve"> et Arno </w:t>
      </w:r>
      <w:proofErr w:type="spellStart"/>
      <w:r>
        <w:t>Gisinger</w:t>
      </w:r>
      <w:proofErr w:type="spellEnd"/>
      <w:r>
        <w:t xml:space="preserve">, pour « Nouvelles histoires de fantômes » au Palais de Tokyo, évoquent le principe d’une exposition qui ne serait pas une fin en soi mais un processus de monstration dans lequel les images fixes ou animées dialoguent, s’entrechoquent dans un grand puzzle figuratif qui évoque le concept de tragédie occidentale en référence à la planche 42 de l’Atlas de </w:t>
      </w:r>
      <w:proofErr w:type="spellStart"/>
      <w:r>
        <w:t>Aby</w:t>
      </w:r>
      <w:proofErr w:type="spellEnd"/>
      <w:r>
        <w:t xml:space="preserve"> Warburg. Si les œuvres présentées relèvent bien de la sélection des commissaires, leur défilement produit des comparaisons désynchronisées dans les projections des œuvres. Les visiteurs ne seront donc pas toujours confrontés aux mêmes images dans un ordre figé de présentation. Si l’œuvre finie au terme de son itinérance dans différents musées devient de fait un « modus </w:t>
      </w:r>
      <w:proofErr w:type="spellStart"/>
      <w:r>
        <w:t>operandi</w:t>
      </w:r>
      <w:proofErr w:type="spellEnd"/>
      <w:r>
        <w:t xml:space="preserve"> visuel », elle aura été modifiée et enrichie </w:t>
      </w:r>
      <w:r>
        <w:lastRenderedPageBreak/>
        <w:t xml:space="preserve">au fur et à mesure de ses remontages comme la somme d’un récit d’expériences qu’Arno </w:t>
      </w:r>
      <w:proofErr w:type="spellStart"/>
      <w:r>
        <w:t>Gisinger</w:t>
      </w:r>
      <w:proofErr w:type="spellEnd"/>
      <w:r>
        <w:t xml:space="preserve"> donne à voir à travers ses photos. Non seulement l’exposition devient un processus qu’elle met en abîme et donne à voir, mais ce kaléidoscope conceptuel renvoie bien à la notion d’</w:t>
      </w:r>
      <w:proofErr w:type="spellStart"/>
      <w:r>
        <w:t>hyperimage</w:t>
      </w:r>
      <w:proofErr w:type="spellEnd"/>
      <w:r>
        <w:t xml:space="preserve"> élaborée par </w:t>
      </w:r>
      <w:proofErr w:type="spellStart"/>
      <w:r>
        <w:t>Thürlemann</w:t>
      </w:r>
      <w:proofErr w:type="spellEnd"/>
      <w:r w:rsidR="00700996">
        <w:rPr>
          <w:rStyle w:val="Appelnotedebasdep"/>
        </w:rPr>
        <w:footnoteReference w:id="31"/>
      </w:r>
      <w:r>
        <w:t xml:space="preserve"> et citée plus haut. Le choix, le montage et la confrontation des images produisent des formes spécifiques de savoir sur le monde. Aucune </w:t>
      </w:r>
      <w:proofErr w:type="spellStart"/>
      <w:r>
        <w:t>oeuvre</w:t>
      </w:r>
      <w:proofErr w:type="spellEnd"/>
      <w:r>
        <w:t xml:space="preserve"> originale ne figure dans l’exposition. Le visiteur n’a accès qu’à leurs reproductions et l’exposition avec plus de 1000 images tient toute entière sur un</w:t>
      </w:r>
      <w:r w:rsidR="00F74293">
        <w:t>e clef USB. Ainsi la reproductibil</w:t>
      </w:r>
      <w:r>
        <w:t>ité des images devient non plus un outil de répétition et d’unicité du discours mais bien au contraire permet un accrochage à chaque fois différent, perfectible, adaptable. La connaissance est friable et donne la part belle à une intuition raisonnée, une sensibilité ajustable.</w:t>
      </w:r>
    </w:p>
    <w:p w:rsidR="00BC5068" w:rsidRDefault="00F74293" w:rsidP="00F74293">
      <w:pPr>
        <w:ind w:firstLine="0"/>
      </w:pPr>
      <w:r>
        <w:t xml:space="preserve">      </w:t>
      </w:r>
      <w:r w:rsidR="00BC5068">
        <w:t xml:space="preserve"> L’ensemble des expériences citées ici tendent à montrer que les images comme les œuvres qui circulent à une rapidité inédite dans l’histoire </w:t>
      </w:r>
      <w:proofErr w:type="gramStart"/>
      <w:r w:rsidR="00BC5068">
        <w:t>constitue</w:t>
      </w:r>
      <w:proofErr w:type="gramEnd"/>
      <w:r w:rsidR="00BC5068">
        <w:t xml:space="preserve"> un jeu de cartes planétaire où chacun peut concevoir son propre mur, son </w:t>
      </w:r>
      <w:r w:rsidR="003F6543">
        <w:t>« </w:t>
      </w:r>
      <w:r w:rsidR="00BC5068">
        <w:t>tapis psychique</w:t>
      </w:r>
      <w:r w:rsidR="003F6543">
        <w:t> »</w:t>
      </w:r>
      <w:r w:rsidR="00BC5068">
        <w:t xml:space="preserve"> dirait Alain Fle</w:t>
      </w:r>
      <w:r w:rsidR="00700044">
        <w:t>i</w:t>
      </w:r>
      <w:r w:rsidR="00BC5068">
        <w:t>scher</w:t>
      </w:r>
      <w:r w:rsidR="00700044">
        <w:rPr>
          <w:rStyle w:val="Appelnotedebasdep"/>
        </w:rPr>
        <w:footnoteReference w:id="32"/>
      </w:r>
      <w:r w:rsidR="00700044">
        <w:t>,</w:t>
      </w:r>
      <w:r w:rsidR="00BC5068">
        <w:t xml:space="preserve"> dire</w:t>
      </w:r>
      <w:r w:rsidR="00700044">
        <w:t xml:space="preserve">cteur du Studio d’art Le </w:t>
      </w:r>
      <w:proofErr w:type="spellStart"/>
      <w:r w:rsidR="00700044">
        <w:t>Fresno</w:t>
      </w:r>
      <w:r w:rsidR="00947DE4">
        <w:t>y</w:t>
      </w:r>
      <w:proofErr w:type="spellEnd"/>
      <w:r w:rsidR="00947DE4">
        <w:t xml:space="preserve"> à Roubaix,</w:t>
      </w:r>
      <w:r w:rsidR="00BC5068">
        <w:t xml:space="preserve"> ou son musée imaginaire. Dans ce jeu dont les règles restent à définir ou pas, on peut supposer que le rapport de chacun aux œuvres et à la création va continuer d’évoluer et probablement bousculer les figures des cartes. C’est donc moins le rôle et les missions du conservateur ou du commissaire qui sont en jeu que le partage de leur vision du monde.</w:t>
      </w:r>
    </w:p>
    <w:p w:rsidR="00BC5068" w:rsidRDefault="00BC5068" w:rsidP="00BC5068"/>
    <w:p w:rsidR="00BC5068" w:rsidRDefault="00BC5068" w:rsidP="00BC5068"/>
    <w:p w:rsidR="00211795" w:rsidRDefault="00F663D5" w:rsidP="00913B05">
      <w:pPr>
        <w:ind w:firstLine="0"/>
      </w:pPr>
      <w:r>
        <w:rPr>
          <w:b/>
          <w:sz w:val="32"/>
        </w:rPr>
        <w:t>Bibliographie</w:t>
      </w:r>
    </w:p>
    <w:p w:rsidR="00785315" w:rsidRDefault="00F663D5">
      <w:pPr>
        <w:tabs>
          <w:tab w:val="left" w:pos="708"/>
        </w:tabs>
        <w:spacing w:before="0" w:after="200" w:line="276" w:lineRule="auto"/>
        <w:rPr>
          <w:rFonts w:ascii="Garamond" w:eastAsia="Garamond" w:hAnsi="Garamond" w:cs="Garamond"/>
          <w:sz w:val="24"/>
        </w:rPr>
      </w:pPr>
      <w:r>
        <w:rPr>
          <w:rFonts w:ascii="Garamond" w:eastAsia="Garamond" w:hAnsi="Garamond" w:cs="Garamond"/>
          <w:smallCaps/>
          <w:sz w:val="24"/>
        </w:rPr>
        <w:t>Ardenne</w:t>
      </w:r>
      <w:r>
        <w:rPr>
          <w:rFonts w:ascii="Garamond" w:eastAsia="Garamond" w:hAnsi="Garamond" w:cs="Garamond"/>
          <w:sz w:val="24"/>
        </w:rPr>
        <w:t xml:space="preserve"> (P.), </w:t>
      </w:r>
      <w:r>
        <w:rPr>
          <w:rFonts w:ascii="Garamond" w:eastAsia="Garamond" w:hAnsi="Garamond" w:cs="Garamond"/>
          <w:i/>
          <w:sz w:val="24"/>
        </w:rPr>
        <w:t>Un art contextuel</w:t>
      </w:r>
      <w:r>
        <w:rPr>
          <w:rFonts w:ascii="Garamond" w:eastAsia="Garamond" w:hAnsi="Garamond" w:cs="Garamond"/>
          <w:sz w:val="24"/>
        </w:rPr>
        <w:t>, Flammarion, 2002</w:t>
      </w:r>
    </w:p>
    <w:p w:rsidR="00785315" w:rsidRPr="00785315" w:rsidRDefault="00785315">
      <w:pPr>
        <w:tabs>
          <w:tab w:val="left" w:pos="708"/>
        </w:tabs>
        <w:spacing w:before="0" w:after="200" w:line="276" w:lineRule="auto"/>
        <w:rPr>
          <w:rFonts w:ascii="Garamond" w:eastAsia="Garamond" w:hAnsi="Garamond" w:cs="Garamond"/>
          <w:sz w:val="24"/>
        </w:rPr>
      </w:pPr>
      <w:r>
        <w:rPr>
          <w:rFonts w:ascii="Garamond" w:eastAsia="Garamond" w:hAnsi="Garamond" w:cs="Garamond"/>
          <w:sz w:val="24"/>
        </w:rPr>
        <w:lastRenderedPageBreak/>
        <w:t>Benjamin (W</w:t>
      </w:r>
      <w:r w:rsidR="007642BA">
        <w:rPr>
          <w:rFonts w:ascii="Garamond" w:eastAsia="Garamond" w:hAnsi="Garamond" w:cs="Garamond"/>
          <w:sz w:val="24"/>
        </w:rPr>
        <w:t>.</w:t>
      </w:r>
      <w:r>
        <w:rPr>
          <w:rFonts w:ascii="Garamond" w:eastAsia="Garamond" w:hAnsi="Garamond" w:cs="Garamond"/>
          <w:sz w:val="24"/>
        </w:rPr>
        <w:t xml:space="preserve">) </w:t>
      </w:r>
      <w:r w:rsidRPr="00785315">
        <w:rPr>
          <w:rFonts w:ascii="Garamond" w:eastAsia="Garamond" w:hAnsi="Garamond" w:cs="Garamond"/>
          <w:i/>
          <w:sz w:val="24"/>
        </w:rPr>
        <w:t>L'</w:t>
      </w:r>
      <w:proofErr w:type="spellStart"/>
      <w:r w:rsidRPr="00785315">
        <w:rPr>
          <w:rFonts w:ascii="Garamond" w:eastAsia="Garamond" w:hAnsi="Garamond" w:cs="Garamond"/>
          <w:i/>
          <w:sz w:val="24"/>
        </w:rPr>
        <w:t>oeuvre</w:t>
      </w:r>
      <w:proofErr w:type="spellEnd"/>
      <w:r w:rsidRPr="00785315">
        <w:rPr>
          <w:rFonts w:ascii="Garamond" w:eastAsia="Garamond" w:hAnsi="Garamond" w:cs="Garamond"/>
          <w:i/>
          <w:sz w:val="24"/>
        </w:rPr>
        <w:t xml:space="preserve"> d'art à l'époque de sa reproductibilité technique</w:t>
      </w:r>
      <w:r>
        <w:rPr>
          <w:rFonts w:ascii="Garamond" w:eastAsia="Garamond" w:hAnsi="Garamond" w:cs="Garamond"/>
          <w:i/>
          <w:sz w:val="24"/>
        </w:rPr>
        <w:t>,</w:t>
      </w:r>
      <w:r>
        <w:rPr>
          <w:rFonts w:ascii="Garamond" w:eastAsia="Garamond" w:hAnsi="Garamond" w:cs="Garamond"/>
          <w:sz w:val="24"/>
        </w:rPr>
        <w:t xml:space="preserve"> Allia </w:t>
      </w:r>
      <w:proofErr w:type="spellStart"/>
      <w:r>
        <w:rPr>
          <w:rFonts w:ascii="Garamond" w:eastAsia="Garamond" w:hAnsi="Garamond" w:cs="Garamond"/>
          <w:sz w:val="24"/>
        </w:rPr>
        <w:t>edt</w:t>
      </w:r>
      <w:proofErr w:type="spellEnd"/>
      <w:r>
        <w:rPr>
          <w:rFonts w:ascii="Garamond" w:eastAsia="Garamond" w:hAnsi="Garamond" w:cs="Garamond"/>
          <w:sz w:val="24"/>
        </w:rPr>
        <w:t>, 2012</w:t>
      </w:r>
    </w:p>
    <w:p w:rsidR="00211795" w:rsidRDefault="00F663D5">
      <w:pPr>
        <w:tabs>
          <w:tab w:val="left" w:pos="708"/>
        </w:tabs>
        <w:spacing w:before="0" w:after="200" w:line="276" w:lineRule="auto"/>
      </w:pPr>
      <w:proofErr w:type="spellStart"/>
      <w:r>
        <w:rPr>
          <w:rFonts w:ascii="Garamond" w:eastAsia="Garamond" w:hAnsi="Garamond" w:cs="Garamond"/>
          <w:smallCaps/>
          <w:sz w:val="24"/>
        </w:rPr>
        <w:t>Bourriaud</w:t>
      </w:r>
      <w:proofErr w:type="spellEnd"/>
      <w:r>
        <w:rPr>
          <w:rFonts w:ascii="Garamond" w:eastAsia="Garamond" w:hAnsi="Garamond" w:cs="Garamond"/>
          <w:sz w:val="24"/>
        </w:rPr>
        <w:t xml:space="preserve"> (N.), </w:t>
      </w:r>
      <w:r>
        <w:rPr>
          <w:rFonts w:ascii="Garamond" w:eastAsia="Garamond" w:hAnsi="Garamond" w:cs="Garamond"/>
          <w:i/>
          <w:sz w:val="24"/>
        </w:rPr>
        <w:t>Esthétique relationnelle</w:t>
      </w:r>
      <w:r>
        <w:rPr>
          <w:rFonts w:ascii="Garamond" w:eastAsia="Garamond" w:hAnsi="Garamond" w:cs="Garamond"/>
          <w:sz w:val="24"/>
        </w:rPr>
        <w:t>, Les presses du réel, 2008</w:t>
      </w:r>
    </w:p>
    <w:p w:rsidR="00211795" w:rsidRDefault="00F663D5">
      <w:pPr>
        <w:tabs>
          <w:tab w:val="left" w:pos="708"/>
        </w:tabs>
        <w:spacing w:before="0" w:after="200" w:line="276" w:lineRule="auto"/>
      </w:pPr>
      <w:proofErr w:type="spellStart"/>
      <w:r>
        <w:rPr>
          <w:rFonts w:ascii="Garamond" w:eastAsia="Garamond" w:hAnsi="Garamond" w:cs="Garamond"/>
          <w:smallCaps/>
          <w:sz w:val="24"/>
        </w:rPr>
        <w:t>Davallon</w:t>
      </w:r>
      <w:proofErr w:type="spellEnd"/>
      <w:r>
        <w:rPr>
          <w:rFonts w:ascii="Garamond" w:eastAsia="Garamond" w:hAnsi="Garamond" w:cs="Garamond"/>
          <w:sz w:val="24"/>
        </w:rPr>
        <w:t xml:space="preserve"> (J.), </w:t>
      </w:r>
      <w:r>
        <w:rPr>
          <w:rFonts w:ascii="Garamond" w:eastAsia="Garamond" w:hAnsi="Garamond" w:cs="Garamond"/>
          <w:i/>
          <w:sz w:val="24"/>
        </w:rPr>
        <w:t>L’exposition à l’œuvre, stratégies de communication et médiation symbolique</w:t>
      </w:r>
      <w:r>
        <w:rPr>
          <w:rFonts w:ascii="Garamond" w:eastAsia="Garamond" w:hAnsi="Garamond" w:cs="Garamond"/>
          <w:sz w:val="24"/>
        </w:rPr>
        <w:t>, L’Harmattan, 1999</w:t>
      </w:r>
    </w:p>
    <w:p w:rsidR="00211795" w:rsidRDefault="00F663D5">
      <w:pPr>
        <w:tabs>
          <w:tab w:val="left" w:pos="708"/>
        </w:tabs>
        <w:spacing w:before="0" w:after="200" w:line="276" w:lineRule="auto"/>
        <w:rPr>
          <w:rFonts w:ascii="Garamond" w:eastAsia="Garamond" w:hAnsi="Garamond" w:cs="Garamond"/>
          <w:sz w:val="24"/>
        </w:rPr>
      </w:pPr>
      <w:proofErr w:type="spellStart"/>
      <w:r>
        <w:rPr>
          <w:rFonts w:ascii="Garamond" w:eastAsia="Garamond" w:hAnsi="Garamond" w:cs="Garamond"/>
          <w:smallCaps/>
          <w:sz w:val="24"/>
        </w:rPr>
        <w:t>Delloche</w:t>
      </w:r>
      <w:proofErr w:type="spellEnd"/>
      <w:r>
        <w:rPr>
          <w:rFonts w:ascii="Garamond" w:eastAsia="Garamond" w:hAnsi="Garamond" w:cs="Garamond"/>
          <w:sz w:val="24"/>
        </w:rPr>
        <w:t xml:space="preserve"> (B.), </w:t>
      </w:r>
      <w:r>
        <w:rPr>
          <w:rFonts w:ascii="Garamond" w:eastAsia="Garamond" w:hAnsi="Garamond" w:cs="Garamond"/>
          <w:i/>
          <w:sz w:val="24"/>
        </w:rPr>
        <w:t>Le musée virtuel, vers une éthique des nouvelles images,</w:t>
      </w:r>
      <w:r>
        <w:rPr>
          <w:rFonts w:ascii="Garamond" w:eastAsia="Garamond" w:hAnsi="Garamond" w:cs="Garamond"/>
          <w:sz w:val="24"/>
        </w:rPr>
        <w:t xml:space="preserve"> PUF, 2001</w:t>
      </w:r>
    </w:p>
    <w:p w:rsidR="00700996" w:rsidRDefault="00700996">
      <w:pPr>
        <w:tabs>
          <w:tab w:val="left" w:pos="708"/>
        </w:tabs>
        <w:spacing w:before="0" w:after="200" w:line="276" w:lineRule="auto"/>
        <w:rPr>
          <w:rFonts w:ascii="Garamond" w:eastAsia="Garamond" w:hAnsi="Garamond" w:cs="Garamond"/>
          <w:sz w:val="24"/>
        </w:rPr>
      </w:pPr>
      <w:r>
        <w:rPr>
          <w:rFonts w:ascii="Garamond" w:eastAsia="Garamond" w:hAnsi="Garamond" w:cs="Garamond"/>
          <w:sz w:val="24"/>
        </w:rPr>
        <w:t>Didi-</w:t>
      </w:r>
      <w:proofErr w:type="spellStart"/>
      <w:r>
        <w:rPr>
          <w:rFonts w:ascii="Garamond" w:eastAsia="Garamond" w:hAnsi="Garamond" w:cs="Garamond"/>
          <w:sz w:val="24"/>
        </w:rPr>
        <w:t>Huberman</w:t>
      </w:r>
      <w:proofErr w:type="spellEnd"/>
      <w:r>
        <w:rPr>
          <w:rFonts w:ascii="Garamond" w:eastAsia="Garamond" w:hAnsi="Garamond" w:cs="Garamond"/>
          <w:sz w:val="24"/>
        </w:rPr>
        <w:t xml:space="preserve"> (G</w:t>
      </w:r>
      <w:r w:rsidR="007642BA">
        <w:rPr>
          <w:rFonts w:ascii="Garamond" w:eastAsia="Garamond" w:hAnsi="Garamond" w:cs="Garamond"/>
          <w:sz w:val="24"/>
        </w:rPr>
        <w:t>.)</w:t>
      </w:r>
      <w:r>
        <w:rPr>
          <w:rFonts w:ascii="Garamond" w:eastAsia="Garamond" w:hAnsi="Garamond" w:cs="Garamond"/>
          <w:sz w:val="24"/>
        </w:rPr>
        <w:t xml:space="preserve">, </w:t>
      </w:r>
      <w:r w:rsidRPr="00785315">
        <w:rPr>
          <w:rFonts w:ascii="Garamond" w:eastAsia="Garamond" w:hAnsi="Garamond" w:cs="Garamond"/>
          <w:i/>
          <w:sz w:val="24"/>
        </w:rPr>
        <w:t>L</w:t>
      </w:r>
      <w:r w:rsidR="00785315" w:rsidRPr="00785315">
        <w:rPr>
          <w:rFonts w:ascii="Garamond" w:eastAsia="Garamond" w:hAnsi="Garamond" w:cs="Garamond"/>
          <w:i/>
          <w:sz w:val="24"/>
        </w:rPr>
        <w:t>'album de l'art à l'époque du "</w:t>
      </w:r>
      <w:r w:rsidRPr="00785315">
        <w:rPr>
          <w:rFonts w:ascii="Garamond" w:eastAsia="Garamond" w:hAnsi="Garamond" w:cs="Garamond"/>
          <w:i/>
          <w:sz w:val="24"/>
        </w:rPr>
        <w:t>Musée imaginaire</w:t>
      </w:r>
      <w:r w:rsidR="00785315" w:rsidRPr="00785315">
        <w:rPr>
          <w:rFonts w:ascii="Garamond" w:eastAsia="Garamond" w:hAnsi="Garamond" w:cs="Garamond"/>
          <w:i/>
          <w:sz w:val="24"/>
        </w:rPr>
        <w:t>"</w:t>
      </w:r>
      <w:r w:rsidR="00785315">
        <w:rPr>
          <w:rFonts w:ascii="Garamond" w:eastAsia="Garamond" w:hAnsi="Garamond" w:cs="Garamond"/>
          <w:i/>
          <w:sz w:val="24"/>
        </w:rPr>
        <w:t>,</w:t>
      </w:r>
      <w:r w:rsidR="00785315">
        <w:rPr>
          <w:rFonts w:ascii="Garamond" w:eastAsia="Garamond" w:hAnsi="Garamond" w:cs="Garamond"/>
          <w:sz w:val="24"/>
        </w:rPr>
        <w:t xml:space="preserve"> Louvre éditions, Hazan, 2013</w:t>
      </w:r>
    </w:p>
    <w:p w:rsidR="00785315" w:rsidRPr="00785315" w:rsidRDefault="00785315">
      <w:pPr>
        <w:tabs>
          <w:tab w:val="left" w:pos="708"/>
        </w:tabs>
        <w:spacing w:before="0" w:after="200" w:line="276" w:lineRule="auto"/>
        <w:rPr>
          <w:rFonts w:ascii="Garamond" w:eastAsia="Garamond" w:hAnsi="Garamond" w:cs="Garamond"/>
          <w:sz w:val="24"/>
        </w:rPr>
      </w:pPr>
      <w:r>
        <w:rPr>
          <w:rFonts w:ascii="Garamond" w:eastAsia="Garamond" w:hAnsi="Garamond" w:cs="Garamond"/>
          <w:sz w:val="24"/>
        </w:rPr>
        <w:t>Didi-</w:t>
      </w:r>
      <w:proofErr w:type="spellStart"/>
      <w:r>
        <w:rPr>
          <w:rFonts w:ascii="Garamond" w:eastAsia="Garamond" w:hAnsi="Garamond" w:cs="Garamond"/>
          <w:sz w:val="24"/>
        </w:rPr>
        <w:t>Huberman</w:t>
      </w:r>
      <w:proofErr w:type="spellEnd"/>
      <w:r>
        <w:rPr>
          <w:rFonts w:ascii="Garamond" w:eastAsia="Garamond" w:hAnsi="Garamond" w:cs="Garamond"/>
          <w:sz w:val="24"/>
        </w:rPr>
        <w:t xml:space="preserve"> (G</w:t>
      </w:r>
      <w:r w:rsidR="007642BA">
        <w:rPr>
          <w:rFonts w:ascii="Garamond" w:eastAsia="Garamond" w:hAnsi="Garamond" w:cs="Garamond"/>
          <w:sz w:val="24"/>
        </w:rPr>
        <w:t>.</w:t>
      </w:r>
      <w:r>
        <w:rPr>
          <w:rFonts w:ascii="Garamond" w:eastAsia="Garamond" w:hAnsi="Garamond" w:cs="Garamond"/>
          <w:sz w:val="24"/>
        </w:rPr>
        <w:t xml:space="preserve">), "Nouvelles histoires de fantôme", </w:t>
      </w:r>
      <w:r w:rsidRPr="00785315">
        <w:rPr>
          <w:rFonts w:ascii="Garamond" w:eastAsia="Garamond" w:hAnsi="Garamond" w:cs="Garamond"/>
          <w:i/>
          <w:sz w:val="24"/>
        </w:rPr>
        <w:t xml:space="preserve">Palais </w:t>
      </w:r>
      <w:r>
        <w:rPr>
          <w:rFonts w:ascii="Garamond" w:eastAsia="Garamond" w:hAnsi="Garamond" w:cs="Garamond"/>
          <w:sz w:val="24"/>
        </w:rPr>
        <w:t>19, Palais de Tokyo, 2013</w:t>
      </w:r>
    </w:p>
    <w:p w:rsidR="003F6543" w:rsidRDefault="003F6543">
      <w:pPr>
        <w:tabs>
          <w:tab w:val="left" w:pos="708"/>
        </w:tabs>
        <w:spacing w:before="0" w:after="200" w:line="276" w:lineRule="auto"/>
      </w:pPr>
      <w:r>
        <w:rPr>
          <w:rFonts w:ascii="Garamond" w:eastAsia="Garamond" w:hAnsi="Garamond" w:cs="Garamond"/>
          <w:sz w:val="24"/>
        </w:rPr>
        <w:t xml:space="preserve">DOUEIHI (M), </w:t>
      </w:r>
      <w:r w:rsidRPr="003F6543">
        <w:rPr>
          <w:rFonts w:ascii="Garamond" w:eastAsia="Garamond" w:hAnsi="Garamond" w:cs="Garamond"/>
          <w:i/>
          <w:sz w:val="24"/>
        </w:rPr>
        <w:t>Pour un humanisme numérique</w:t>
      </w:r>
      <w:r>
        <w:rPr>
          <w:rFonts w:ascii="Garamond" w:eastAsia="Garamond" w:hAnsi="Garamond" w:cs="Garamond"/>
          <w:sz w:val="24"/>
        </w:rPr>
        <w:t>, Seuil, 2011</w:t>
      </w:r>
    </w:p>
    <w:p w:rsidR="00211795" w:rsidRDefault="00F663D5">
      <w:pPr>
        <w:tabs>
          <w:tab w:val="left" w:pos="708"/>
        </w:tabs>
        <w:spacing w:before="0" w:after="200" w:line="276" w:lineRule="auto"/>
        <w:rPr>
          <w:rFonts w:ascii="Garamond" w:eastAsia="Garamond" w:hAnsi="Garamond" w:cs="Garamond"/>
          <w:sz w:val="24"/>
        </w:rPr>
      </w:pPr>
      <w:r>
        <w:rPr>
          <w:rFonts w:ascii="Garamond" w:eastAsia="Garamond" w:hAnsi="Garamond" w:cs="Garamond"/>
          <w:smallCaps/>
          <w:sz w:val="24"/>
        </w:rPr>
        <w:t>Clair</w:t>
      </w:r>
      <w:r>
        <w:rPr>
          <w:rFonts w:ascii="Garamond" w:eastAsia="Garamond" w:hAnsi="Garamond" w:cs="Garamond"/>
          <w:sz w:val="24"/>
        </w:rPr>
        <w:t xml:space="preserve"> (J.), </w:t>
      </w:r>
      <w:r>
        <w:rPr>
          <w:rFonts w:ascii="Garamond" w:eastAsia="Garamond" w:hAnsi="Garamond" w:cs="Garamond"/>
          <w:i/>
          <w:sz w:val="24"/>
        </w:rPr>
        <w:t>Malaise dans les musées</w:t>
      </w:r>
      <w:r>
        <w:rPr>
          <w:rFonts w:ascii="Garamond" w:eastAsia="Garamond" w:hAnsi="Garamond" w:cs="Garamond"/>
          <w:sz w:val="24"/>
        </w:rPr>
        <w:t>, Flammarion, 2007</w:t>
      </w:r>
    </w:p>
    <w:p w:rsidR="006202A6" w:rsidRDefault="006202A6">
      <w:pPr>
        <w:tabs>
          <w:tab w:val="left" w:pos="708"/>
        </w:tabs>
        <w:spacing w:before="0" w:after="200" w:line="276" w:lineRule="auto"/>
      </w:pPr>
      <w:r>
        <w:rPr>
          <w:rFonts w:ascii="Garamond" w:eastAsia="Garamond" w:hAnsi="Garamond" w:cs="Garamond"/>
          <w:sz w:val="24"/>
        </w:rPr>
        <w:t xml:space="preserve">CLAIR </w:t>
      </w:r>
      <w:r w:rsidR="00D205D0">
        <w:rPr>
          <w:rFonts w:ascii="Garamond" w:eastAsia="Garamond" w:hAnsi="Garamond" w:cs="Garamond"/>
          <w:sz w:val="24"/>
        </w:rPr>
        <w:t>(J), L’artiste et les commissaires, nouvelle édition, Hachette, 2007</w:t>
      </w:r>
      <w:bookmarkStart w:id="0" w:name="_GoBack"/>
      <w:bookmarkEnd w:id="0"/>
    </w:p>
    <w:p w:rsidR="00211795" w:rsidRDefault="00F663D5">
      <w:pPr>
        <w:tabs>
          <w:tab w:val="left" w:pos="708"/>
        </w:tabs>
        <w:spacing w:before="0" w:after="200" w:line="276" w:lineRule="auto"/>
      </w:pPr>
      <w:proofErr w:type="spellStart"/>
      <w:r>
        <w:rPr>
          <w:rFonts w:ascii="Garamond" w:eastAsia="Garamond" w:hAnsi="Garamond" w:cs="Garamond"/>
          <w:smallCaps/>
          <w:sz w:val="24"/>
        </w:rPr>
        <w:t>Couchot</w:t>
      </w:r>
      <w:proofErr w:type="spellEnd"/>
      <w:r>
        <w:rPr>
          <w:rFonts w:ascii="Garamond" w:eastAsia="Garamond" w:hAnsi="Garamond" w:cs="Garamond"/>
          <w:sz w:val="24"/>
        </w:rPr>
        <w:t xml:space="preserve"> (E.), Norbert Hilaire, </w:t>
      </w:r>
      <w:r>
        <w:rPr>
          <w:rFonts w:ascii="Garamond" w:eastAsia="Garamond" w:hAnsi="Garamond" w:cs="Garamond"/>
          <w:i/>
          <w:sz w:val="24"/>
        </w:rPr>
        <w:t>L’art numérique, comment la technologie vient au monde de l’art</w:t>
      </w:r>
      <w:r>
        <w:rPr>
          <w:rFonts w:ascii="Garamond" w:eastAsia="Garamond" w:hAnsi="Garamond" w:cs="Garamond"/>
          <w:sz w:val="24"/>
        </w:rPr>
        <w:t>, Champs arts, 2009</w:t>
      </w:r>
    </w:p>
    <w:p w:rsidR="00211795" w:rsidRDefault="00F663D5">
      <w:pPr>
        <w:tabs>
          <w:tab w:val="left" w:pos="708"/>
        </w:tabs>
        <w:spacing w:before="0" w:after="200" w:line="276" w:lineRule="auto"/>
        <w:rPr>
          <w:rFonts w:ascii="Garamond" w:eastAsia="Garamond" w:hAnsi="Garamond" w:cs="Garamond"/>
          <w:sz w:val="24"/>
        </w:rPr>
      </w:pPr>
      <w:proofErr w:type="spellStart"/>
      <w:r>
        <w:rPr>
          <w:rFonts w:ascii="Garamond" w:eastAsia="Garamond" w:hAnsi="Garamond" w:cs="Garamond"/>
          <w:smallCaps/>
          <w:sz w:val="24"/>
        </w:rPr>
        <w:t>Doueihi</w:t>
      </w:r>
      <w:proofErr w:type="spellEnd"/>
      <w:r>
        <w:rPr>
          <w:rFonts w:ascii="Garamond" w:eastAsia="Garamond" w:hAnsi="Garamond" w:cs="Garamond"/>
          <w:sz w:val="24"/>
        </w:rPr>
        <w:t xml:space="preserve"> (M.), </w:t>
      </w:r>
      <w:r>
        <w:rPr>
          <w:rFonts w:ascii="Garamond" w:eastAsia="Garamond" w:hAnsi="Garamond" w:cs="Garamond"/>
          <w:i/>
          <w:sz w:val="24"/>
        </w:rPr>
        <w:t>Pour un humanisme numérique</w:t>
      </w:r>
      <w:r>
        <w:rPr>
          <w:rFonts w:ascii="Garamond" w:eastAsia="Garamond" w:hAnsi="Garamond" w:cs="Garamond"/>
          <w:sz w:val="24"/>
        </w:rPr>
        <w:t>, Seuil, 2011</w:t>
      </w:r>
    </w:p>
    <w:p w:rsidR="007E5A89" w:rsidRPr="007642BA" w:rsidRDefault="007642BA">
      <w:pPr>
        <w:tabs>
          <w:tab w:val="left" w:pos="708"/>
        </w:tabs>
        <w:spacing w:before="0" w:after="200" w:line="276" w:lineRule="auto"/>
        <w:rPr>
          <w:rFonts w:ascii="Garamond" w:eastAsia="Garamond" w:hAnsi="Garamond" w:cs="Garamond"/>
          <w:sz w:val="24"/>
        </w:rPr>
      </w:pPr>
      <w:proofErr w:type="spellStart"/>
      <w:r>
        <w:rPr>
          <w:rFonts w:ascii="Garamond" w:eastAsia="Garamond" w:hAnsi="Garamond" w:cs="Garamond"/>
          <w:sz w:val="24"/>
        </w:rPr>
        <w:t>Gonseth</w:t>
      </w:r>
      <w:proofErr w:type="spellEnd"/>
      <w:r>
        <w:rPr>
          <w:rFonts w:ascii="Garamond" w:eastAsia="Garamond" w:hAnsi="Garamond" w:cs="Garamond"/>
          <w:sz w:val="24"/>
        </w:rPr>
        <w:t xml:space="preserve"> (M.</w:t>
      </w:r>
      <w:r w:rsidR="007E5A89" w:rsidRPr="007642BA">
        <w:rPr>
          <w:rFonts w:ascii="Garamond" w:eastAsia="Garamond" w:hAnsi="Garamond" w:cs="Garamond"/>
          <w:sz w:val="24"/>
        </w:rPr>
        <w:t xml:space="preserve">O), </w:t>
      </w:r>
      <w:proofErr w:type="spellStart"/>
      <w:r w:rsidR="007E5A89" w:rsidRPr="007642BA">
        <w:rPr>
          <w:rFonts w:ascii="Garamond" w:eastAsia="Garamond" w:hAnsi="Garamond" w:cs="Garamond"/>
          <w:sz w:val="24"/>
        </w:rPr>
        <w:t>Knodel</w:t>
      </w:r>
      <w:proofErr w:type="spellEnd"/>
      <w:r w:rsidR="007E5A89" w:rsidRPr="007642BA">
        <w:rPr>
          <w:rFonts w:ascii="Garamond" w:eastAsia="Garamond" w:hAnsi="Garamond" w:cs="Garamond"/>
          <w:sz w:val="24"/>
        </w:rPr>
        <w:t xml:space="preserve"> (B), </w:t>
      </w:r>
      <w:proofErr w:type="spellStart"/>
      <w:r w:rsidR="007E5A89" w:rsidRPr="007642BA">
        <w:rPr>
          <w:rFonts w:ascii="Garamond" w:eastAsia="Garamond" w:hAnsi="Garamond" w:cs="Garamond"/>
          <w:sz w:val="24"/>
        </w:rPr>
        <w:t>Reubi</w:t>
      </w:r>
      <w:proofErr w:type="spellEnd"/>
      <w:r w:rsidR="007E5A89" w:rsidRPr="007642BA">
        <w:rPr>
          <w:rFonts w:ascii="Garamond" w:eastAsia="Garamond" w:hAnsi="Garamond" w:cs="Garamond"/>
          <w:sz w:val="24"/>
        </w:rPr>
        <w:t xml:space="preserve"> (S), </w:t>
      </w:r>
      <w:r w:rsidR="007E5A89" w:rsidRPr="007642BA">
        <w:rPr>
          <w:rFonts w:ascii="Garamond" w:eastAsia="Garamond" w:hAnsi="Garamond" w:cs="Garamond"/>
          <w:i/>
          <w:sz w:val="24"/>
        </w:rPr>
        <w:t>Retour d'Angola</w:t>
      </w:r>
      <w:r w:rsidR="007E5A89" w:rsidRPr="007642BA">
        <w:rPr>
          <w:rFonts w:ascii="Garamond" w:eastAsia="Garamond" w:hAnsi="Garamond" w:cs="Garamond"/>
          <w:sz w:val="24"/>
        </w:rPr>
        <w:t>, MEN, 2010</w:t>
      </w:r>
    </w:p>
    <w:p w:rsidR="007E5A89" w:rsidRPr="007642BA" w:rsidRDefault="007E5A89">
      <w:pPr>
        <w:tabs>
          <w:tab w:val="left" w:pos="708"/>
        </w:tabs>
        <w:spacing w:before="0" w:after="200" w:line="276" w:lineRule="auto"/>
        <w:rPr>
          <w:rFonts w:ascii="Garamond" w:eastAsia="Garamond" w:hAnsi="Garamond" w:cs="Garamond"/>
          <w:sz w:val="24"/>
        </w:rPr>
      </w:pPr>
      <w:proofErr w:type="spellStart"/>
      <w:r w:rsidRPr="007642BA">
        <w:rPr>
          <w:rFonts w:ascii="Garamond" w:eastAsia="Garamond" w:hAnsi="Garamond" w:cs="Garamond"/>
          <w:sz w:val="24"/>
        </w:rPr>
        <w:t>Gonseth</w:t>
      </w:r>
      <w:proofErr w:type="spellEnd"/>
      <w:r w:rsidR="007642BA" w:rsidRPr="007642BA">
        <w:rPr>
          <w:rFonts w:ascii="Garamond" w:eastAsia="Garamond" w:hAnsi="Garamond" w:cs="Garamond"/>
          <w:sz w:val="24"/>
        </w:rPr>
        <w:t xml:space="preserve"> (M.</w:t>
      </w:r>
      <w:r w:rsidRPr="007642BA">
        <w:rPr>
          <w:rFonts w:ascii="Garamond" w:eastAsia="Garamond" w:hAnsi="Garamond" w:cs="Garamond"/>
          <w:sz w:val="24"/>
        </w:rPr>
        <w:t xml:space="preserve">O), </w:t>
      </w:r>
      <w:proofErr w:type="spellStart"/>
      <w:r w:rsidRPr="007642BA">
        <w:rPr>
          <w:rFonts w:ascii="Garamond" w:eastAsia="Garamond" w:hAnsi="Garamond" w:cs="Garamond"/>
          <w:sz w:val="24"/>
        </w:rPr>
        <w:t>Hainard</w:t>
      </w:r>
      <w:proofErr w:type="spellEnd"/>
      <w:r w:rsidRPr="007642BA">
        <w:rPr>
          <w:rFonts w:ascii="Garamond" w:eastAsia="Garamond" w:hAnsi="Garamond" w:cs="Garamond"/>
          <w:sz w:val="24"/>
        </w:rPr>
        <w:t xml:space="preserve"> (J), </w:t>
      </w:r>
      <w:proofErr w:type="spellStart"/>
      <w:r w:rsidR="007642BA" w:rsidRPr="007642BA">
        <w:rPr>
          <w:rFonts w:ascii="Garamond" w:eastAsia="Garamond" w:hAnsi="Garamond" w:cs="Garamond"/>
          <w:sz w:val="24"/>
        </w:rPr>
        <w:t>Kaehr</w:t>
      </w:r>
      <w:proofErr w:type="spellEnd"/>
      <w:r w:rsidR="007642BA" w:rsidRPr="007642BA">
        <w:rPr>
          <w:rFonts w:ascii="Garamond" w:eastAsia="Garamond" w:hAnsi="Garamond" w:cs="Garamond"/>
          <w:sz w:val="24"/>
        </w:rPr>
        <w:t xml:space="preserve"> (R), </w:t>
      </w:r>
      <w:r w:rsidR="007642BA" w:rsidRPr="007642BA">
        <w:rPr>
          <w:rFonts w:ascii="Garamond" w:eastAsia="Garamond" w:hAnsi="Garamond" w:cs="Garamond"/>
          <w:i/>
          <w:sz w:val="24"/>
        </w:rPr>
        <w:t>Le musée cannibale</w:t>
      </w:r>
      <w:r w:rsidR="007642BA" w:rsidRPr="007642BA">
        <w:rPr>
          <w:rFonts w:ascii="Garamond" w:eastAsia="Garamond" w:hAnsi="Garamond" w:cs="Garamond"/>
          <w:sz w:val="24"/>
        </w:rPr>
        <w:t>, MEN, 2002</w:t>
      </w:r>
    </w:p>
    <w:p w:rsidR="007642BA" w:rsidRPr="007642BA" w:rsidRDefault="007642BA">
      <w:pPr>
        <w:tabs>
          <w:tab w:val="left" w:pos="708"/>
        </w:tabs>
        <w:spacing w:before="0" w:after="200" w:line="276" w:lineRule="auto"/>
      </w:pPr>
      <w:r w:rsidRPr="007642BA">
        <w:rPr>
          <w:rFonts w:ascii="Garamond" w:eastAsia="Garamond" w:hAnsi="Garamond" w:cs="Garamond"/>
          <w:sz w:val="24"/>
        </w:rPr>
        <w:lastRenderedPageBreak/>
        <w:t xml:space="preserve">Gonseth (M.O), Hainard (J), Kaehr (R), </w:t>
      </w:r>
      <w:r w:rsidRPr="007642BA">
        <w:rPr>
          <w:rFonts w:ascii="Garamond" w:eastAsia="Garamond" w:hAnsi="Garamond" w:cs="Garamond"/>
          <w:i/>
          <w:sz w:val="24"/>
        </w:rPr>
        <w:t>Derrière les images,</w:t>
      </w:r>
      <w:r w:rsidRPr="007642BA">
        <w:rPr>
          <w:rFonts w:ascii="Garamond" w:eastAsia="Garamond" w:hAnsi="Garamond" w:cs="Garamond"/>
          <w:sz w:val="24"/>
        </w:rPr>
        <w:t xml:space="preserve"> MEN, 1998</w:t>
      </w:r>
    </w:p>
    <w:p w:rsidR="00211795" w:rsidRDefault="00F663D5">
      <w:pPr>
        <w:tabs>
          <w:tab w:val="left" w:pos="708"/>
        </w:tabs>
        <w:spacing w:before="0" w:after="200" w:line="276" w:lineRule="auto"/>
      </w:pPr>
      <w:r>
        <w:rPr>
          <w:rFonts w:ascii="Garamond" w:eastAsia="Garamond" w:hAnsi="Garamond" w:cs="Garamond"/>
          <w:smallCaps/>
          <w:sz w:val="24"/>
        </w:rPr>
        <w:t>Lévy</w:t>
      </w:r>
      <w:r>
        <w:rPr>
          <w:rFonts w:ascii="Garamond" w:eastAsia="Garamond" w:hAnsi="Garamond" w:cs="Garamond"/>
          <w:sz w:val="24"/>
        </w:rPr>
        <w:t xml:space="preserve"> (P.), </w:t>
      </w:r>
      <w:r>
        <w:rPr>
          <w:rFonts w:ascii="Garamond" w:eastAsia="Garamond" w:hAnsi="Garamond" w:cs="Garamond"/>
          <w:i/>
          <w:sz w:val="24"/>
        </w:rPr>
        <w:t>La machine univers,</w:t>
      </w:r>
      <w:r>
        <w:rPr>
          <w:rFonts w:ascii="Garamond" w:eastAsia="Garamond" w:hAnsi="Garamond" w:cs="Garamond"/>
          <w:sz w:val="24"/>
        </w:rPr>
        <w:t xml:space="preserve"> La découverte</w:t>
      </w:r>
      <w:proofErr w:type="gramStart"/>
      <w:r>
        <w:rPr>
          <w:rFonts w:ascii="Garamond" w:eastAsia="Garamond" w:hAnsi="Garamond" w:cs="Garamond"/>
          <w:sz w:val="24"/>
        </w:rPr>
        <w:t>,2010</w:t>
      </w:r>
      <w:proofErr w:type="gramEnd"/>
    </w:p>
    <w:p w:rsidR="00211795" w:rsidRDefault="00F663D5">
      <w:pPr>
        <w:tabs>
          <w:tab w:val="left" w:pos="708"/>
        </w:tabs>
        <w:spacing w:before="0" w:after="200" w:line="276" w:lineRule="auto"/>
      </w:pPr>
      <w:r>
        <w:rPr>
          <w:rFonts w:ascii="Garamond" w:eastAsia="Garamond" w:hAnsi="Garamond" w:cs="Garamond"/>
          <w:smallCaps/>
          <w:sz w:val="24"/>
        </w:rPr>
        <w:t>Malraux</w:t>
      </w:r>
      <w:r>
        <w:rPr>
          <w:rFonts w:ascii="Garamond" w:eastAsia="Garamond" w:hAnsi="Garamond" w:cs="Garamond"/>
          <w:sz w:val="24"/>
        </w:rPr>
        <w:t xml:space="preserve"> (A.), </w:t>
      </w:r>
      <w:r>
        <w:rPr>
          <w:rFonts w:ascii="Garamond" w:eastAsia="Garamond" w:hAnsi="Garamond" w:cs="Garamond"/>
          <w:i/>
          <w:sz w:val="24"/>
        </w:rPr>
        <w:t>Le Musée imaginaire</w:t>
      </w:r>
      <w:r>
        <w:rPr>
          <w:rFonts w:ascii="Garamond" w:eastAsia="Garamond" w:hAnsi="Garamond" w:cs="Garamond"/>
          <w:sz w:val="24"/>
        </w:rPr>
        <w:t>, Gallimard, 2010</w:t>
      </w:r>
    </w:p>
    <w:p w:rsidR="00211795" w:rsidRDefault="00F663D5">
      <w:pPr>
        <w:tabs>
          <w:tab w:val="left" w:pos="708"/>
        </w:tabs>
        <w:spacing w:before="0" w:after="200" w:line="276" w:lineRule="auto"/>
      </w:pPr>
      <w:r>
        <w:rPr>
          <w:rFonts w:ascii="Garamond" w:eastAsia="Garamond" w:hAnsi="Garamond" w:cs="Garamond"/>
          <w:smallCaps/>
          <w:sz w:val="24"/>
        </w:rPr>
        <w:t xml:space="preserve">de </w:t>
      </w:r>
      <w:proofErr w:type="spellStart"/>
      <w:r>
        <w:rPr>
          <w:rFonts w:ascii="Garamond" w:eastAsia="Garamond" w:hAnsi="Garamond" w:cs="Garamond"/>
          <w:smallCaps/>
          <w:sz w:val="24"/>
        </w:rPr>
        <w:t>Mèredieu</w:t>
      </w:r>
      <w:proofErr w:type="spellEnd"/>
      <w:r>
        <w:rPr>
          <w:rFonts w:ascii="Garamond" w:eastAsia="Garamond" w:hAnsi="Garamond" w:cs="Garamond"/>
          <w:sz w:val="24"/>
        </w:rPr>
        <w:t xml:space="preserve"> (F.), </w:t>
      </w:r>
      <w:r>
        <w:rPr>
          <w:rFonts w:ascii="Garamond" w:eastAsia="Garamond" w:hAnsi="Garamond" w:cs="Garamond"/>
          <w:i/>
          <w:sz w:val="24"/>
        </w:rPr>
        <w:t>Arts et nouvelles technologies</w:t>
      </w:r>
      <w:r>
        <w:rPr>
          <w:rFonts w:ascii="Garamond" w:eastAsia="Garamond" w:hAnsi="Garamond" w:cs="Garamond"/>
          <w:sz w:val="24"/>
        </w:rPr>
        <w:t>, Larousse, 2005</w:t>
      </w:r>
    </w:p>
    <w:p w:rsidR="00211795" w:rsidRDefault="00F663D5">
      <w:pPr>
        <w:tabs>
          <w:tab w:val="left" w:pos="708"/>
        </w:tabs>
        <w:spacing w:before="0" w:after="200" w:line="276" w:lineRule="auto"/>
      </w:pPr>
      <w:r>
        <w:rPr>
          <w:rFonts w:ascii="Garamond" w:eastAsia="Garamond" w:hAnsi="Garamond" w:cs="Garamond"/>
          <w:smallCaps/>
          <w:sz w:val="24"/>
        </w:rPr>
        <w:t>Michaud</w:t>
      </w:r>
      <w:r>
        <w:rPr>
          <w:rFonts w:ascii="Garamond" w:eastAsia="Garamond" w:hAnsi="Garamond" w:cs="Garamond"/>
          <w:sz w:val="24"/>
        </w:rPr>
        <w:t xml:space="preserve"> (Y.), </w:t>
      </w:r>
      <w:r>
        <w:rPr>
          <w:rFonts w:ascii="Garamond" w:eastAsia="Garamond" w:hAnsi="Garamond" w:cs="Garamond"/>
          <w:i/>
          <w:sz w:val="24"/>
        </w:rPr>
        <w:t>L’art à l’état gazeux, Stock, 2003</w:t>
      </w:r>
    </w:p>
    <w:p w:rsidR="00211795" w:rsidRDefault="00F663D5">
      <w:pPr>
        <w:tabs>
          <w:tab w:val="left" w:pos="708"/>
        </w:tabs>
        <w:spacing w:before="0" w:after="200" w:line="276" w:lineRule="auto"/>
      </w:pPr>
      <w:r>
        <w:rPr>
          <w:rFonts w:ascii="Garamond" w:eastAsia="Garamond" w:hAnsi="Garamond" w:cs="Garamond"/>
          <w:smallCaps/>
          <w:sz w:val="24"/>
        </w:rPr>
        <w:t>Moulin</w:t>
      </w:r>
      <w:r>
        <w:rPr>
          <w:rFonts w:ascii="Garamond" w:eastAsia="Garamond" w:hAnsi="Garamond" w:cs="Garamond"/>
          <w:sz w:val="24"/>
        </w:rPr>
        <w:t xml:space="preserve"> (R.), </w:t>
      </w:r>
      <w:r>
        <w:rPr>
          <w:rFonts w:ascii="Garamond" w:eastAsia="Garamond" w:hAnsi="Garamond" w:cs="Garamond"/>
          <w:i/>
          <w:sz w:val="24"/>
        </w:rPr>
        <w:t>Le marché de l’art ; Mondialisation et nouvelles technologies</w:t>
      </w:r>
      <w:r>
        <w:rPr>
          <w:rFonts w:ascii="Garamond" w:eastAsia="Garamond" w:hAnsi="Garamond" w:cs="Garamond"/>
          <w:sz w:val="24"/>
        </w:rPr>
        <w:t>, Flammarion, 2000</w:t>
      </w:r>
    </w:p>
    <w:p w:rsidR="00211795" w:rsidRDefault="00F663D5">
      <w:pPr>
        <w:tabs>
          <w:tab w:val="left" w:pos="708"/>
        </w:tabs>
        <w:spacing w:before="0" w:after="200" w:line="276" w:lineRule="auto"/>
        <w:rPr>
          <w:rFonts w:ascii="Garamond" w:eastAsia="Garamond" w:hAnsi="Garamond" w:cs="Garamond"/>
          <w:sz w:val="24"/>
        </w:rPr>
      </w:pPr>
      <w:r>
        <w:rPr>
          <w:rFonts w:ascii="Garamond" w:eastAsia="Garamond" w:hAnsi="Garamond" w:cs="Garamond"/>
          <w:smallCaps/>
          <w:sz w:val="24"/>
        </w:rPr>
        <w:t>Popper</w:t>
      </w:r>
      <w:r>
        <w:rPr>
          <w:rFonts w:ascii="Garamond" w:eastAsia="Garamond" w:hAnsi="Garamond" w:cs="Garamond"/>
          <w:sz w:val="24"/>
        </w:rPr>
        <w:t xml:space="preserve"> (F.), Art, action et participation, </w:t>
      </w:r>
      <w:proofErr w:type="spellStart"/>
      <w:r>
        <w:rPr>
          <w:rFonts w:ascii="Garamond" w:eastAsia="Garamond" w:hAnsi="Garamond" w:cs="Garamond"/>
          <w:sz w:val="24"/>
        </w:rPr>
        <w:t>Klincksieck</w:t>
      </w:r>
      <w:proofErr w:type="spellEnd"/>
      <w:r>
        <w:rPr>
          <w:rFonts w:ascii="Garamond" w:eastAsia="Garamond" w:hAnsi="Garamond" w:cs="Garamond"/>
          <w:sz w:val="24"/>
        </w:rPr>
        <w:t>, 1980</w:t>
      </w:r>
    </w:p>
    <w:p w:rsidR="00785315" w:rsidRDefault="00785315">
      <w:pPr>
        <w:tabs>
          <w:tab w:val="left" w:pos="708"/>
        </w:tabs>
        <w:spacing w:before="0" w:after="200" w:line="276" w:lineRule="auto"/>
      </w:pPr>
    </w:p>
    <w:p w:rsidR="00211795" w:rsidRDefault="00F663D5">
      <w:pPr>
        <w:tabs>
          <w:tab w:val="left" w:pos="708"/>
        </w:tabs>
        <w:spacing w:before="0" w:after="200" w:line="276" w:lineRule="auto"/>
      </w:pPr>
      <w:proofErr w:type="spellStart"/>
      <w:r>
        <w:rPr>
          <w:rFonts w:ascii="Garamond" w:eastAsia="Garamond" w:hAnsi="Garamond" w:cs="Garamond"/>
          <w:smallCaps/>
          <w:sz w:val="24"/>
        </w:rPr>
        <w:t>Rancière</w:t>
      </w:r>
      <w:proofErr w:type="spellEnd"/>
      <w:r>
        <w:rPr>
          <w:rFonts w:ascii="Garamond" w:eastAsia="Garamond" w:hAnsi="Garamond" w:cs="Garamond"/>
          <w:sz w:val="24"/>
        </w:rPr>
        <w:t xml:space="preserve"> (J.), </w:t>
      </w:r>
      <w:r>
        <w:rPr>
          <w:rFonts w:ascii="Garamond" w:eastAsia="Garamond" w:hAnsi="Garamond" w:cs="Garamond"/>
          <w:i/>
          <w:sz w:val="24"/>
        </w:rPr>
        <w:t>Le partage du sensible</w:t>
      </w:r>
      <w:r>
        <w:rPr>
          <w:rFonts w:ascii="Garamond" w:eastAsia="Garamond" w:hAnsi="Garamond" w:cs="Garamond"/>
          <w:sz w:val="24"/>
        </w:rPr>
        <w:t>, La Fabrique-éditions, 2000</w:t>
      </w:r>
    </w:p>
    <w:p w:rsidR="00211795" w:rsidRDefault="00F663D5">
      <w:pPr>
        <w:tabs>
          <w:tab w:val="left" w:pos="708"/>
        </w:tabs>
        <w:spacing w:before="0" w:after="200" w:line="276" w:lineRule="auto"/>
      </w:pPr>
      <w:proofErr w:type="spellStart"/>
      <w:r>
        <w:rPr>
          <w:rFonts w:ascii="Garamond" w:eastAsia="Garamond" w:hAnsi="Garamond" w:cs="Garamond"/>
          <w:smallCaps/>
          <w:sz w:val="24"/>
        </w:rPr>
        <w:t>Rancière</w:t>
      </w:r>
      <w:proofErr w:type="spellEnd"/>
      <w:r>
        <w:rPr>
          <w:rFonts w:ascii="Garamond" w:eastAsia="Garamond" w:hAnsi="Garamond" w:cs="Garamond"/>
          <w:sz w:val="24"/>
        </w:rPr>
        <w:t xml:space="preserve"> (J.), </w:t>
      </w:r>
      <w:r>
        <w:rPr>
          <w:rFonts w:ascii="Garamond" w:eastAsia="Garamond" w:hAnsi="Garamond" w:cs="Garamond"/>
          <w:i/>
          <w:sz w:val="24"/>
        </w:rPr>
        <w:t>Le spectateur émancipé</w:t>
      </w:r>
      <w:r>
        <w:rPr>
          <w:rFonts w:ascii="Garamond" w:eastAsia="Garamond" w:hAnsi="Garamond" w:cs="Garamond"/>
          <w:sz w:val="24"/>
        </w:rPr>
        <w:t xml:space="preserve">, La Fabrique-éditions, 2008 </w:t>
      </w:r>
    </w:p>
    <w:p w:rsidR="00785315" w:rsidRPr="00785315" w:rsidRDefault="00F663D5">
      <w:pPr>
        <w:tabs>
          <w:tab w:val="left" w:pos="708"/>
        </w:tabs>
        <w:spacing w:before="0" w:after="200" w:line="276" w:lineRule="auto"/>
        <w:rPr>
          <w:rFonts w:ascii="Garamond" w:eastAsia="Garamond" w:hAnsi="Garamond" w:cs="Garamond"/>
          <w:sz w:val="24"/>
        </w:rPr>
      </w:pPr>
      <w:proofErr w:type="spellStart"/>
      <w:r>
        <w:rPr>
          <w:rFonts w:ascii="Garamond" w:eastAsia="Garamond" w:hAnsi="Garamond" w:cs="Garamond"/>
          <w:smallCaps/>
          <w:sz w:val="24"/>
        </w:rPr>
        <w:t>Stiegler</w:t>
      </w:r>
      <w:proofErr w:type="spellEnd"/>
      <w:r>
        <w:rPr>
          <w:rFonts w:ascii="Garamond" w:eastAsia="Garamond" w:hAnsi="Garamond" w:cs="Garamond"/>
          <w:sz w:val="24"/>
        </w:rPr>
        <w:t xml:space="preserve"> (B.), </w:t>
      </w:r>
      <w:r>
        <w:rPr>
          <w:rFonts w:ascii="Garamond" w:eastAsia="Garamond" w:hAnsi="Garamond" w:cs="Garamond"/>
          <w:i/>
          <w:sz w:val="24"/>
        </w:rPr>
        <w:t xml:space="preserve">De la misère symbolique, 1-L’époque </w:t>
      </w:r>
      <w:proofErr w:type="spellStart"/>
      <w:r>
        <w:rPr>
          <w:rFonts w:ascii="Garamond" w:eastAsia="Garamond" w:hAnsi="Garamond" w:cs="Garamond"/>
          <w:i/>
          <w:sz w:val="24"/>
        </w:rPr>
        <w:t>hyperindustrielle</w:t>
      </w:r>
      <w:proofErr w:type="spellEnd"/>
      <w:r>
        <w:rPr>
          <w:rFonts w:ascii="Garamond" w:eastAsia="Garamond" w:hAnsi="Garamond" w:cs="Garamond"/>
          <w:sz w:val="24"/>
        </w:rPr>
        <w:t>, Galilée, 2004</w:t>
      </w:r>
    </w:p>
    <w:p w:rsidR="00211795" w:rsidRDefault="00F663D5">
      <w:pPr>
        <w:tabs>
          <w:tab w:val="left" w:pos="708"/>
        </w:tabs>
        <w:spacing w:before="0" w:after="200" w:line="276" w:lineRule="auto"/>
      </w:pPr>
      <w:proofErr w:type="spellStart"/>
      <w:r>
        <w:rPr>
          <w:rFonts w:ascii="Garamond" w:eastAsia="Garamond" w:hAnsi="Garamond" w:cs="Garamond"/>
          <w:smallCaps/>
          <w:sz w:val="24"/>
        </w:rPr>
        <w:t>Welger-Barboza</w:t>
      </w:r>
      <w:proofErr w:type="spellEnd"/>
      <w:r>
        <w:rPr>
          <w:rFonts w:ascii="Garamond" w:eastAsia="Garamond" w:hAnsi="Garamond" w:cs="Garamond"/>
          <w:sz w:val="24"/>
        </w:rPr>
        <w:t xml:space="preserve"> (C.), </w:t>
      </w:r>
      <w:r>
        <w:rPr>
          <w:rFonts w:ascii="Garamond" w:eastAsia="Garamond" w:hAnsi="Garamond" w:cs="Garamond"/>
          <w:i/>
          <w:sz w:val="24"/>
        </w:rPr>
        <w:t>Le patrimoine à l’ère du document numérique, du musée virtuel au musée médiathèque</w:t>
      </w:r>
      <w:r>
        <w:rPr>
          <w:rFonts w:ascii="Garamond" w:eastAsia="Garamond" w:hAnsi="Garamond" w:cs="Garamond"/>
          <w:sz w:val="24"/>
        </w:rPr>
        <w:t>, L’Harmattan, 2001</w:t>
      </w:r>
    </w:p>
    <w:p w:rsidR="00211795" w:rsidRDefault="00F663D5">
      <w:pPr>
        <w:tabs>
          <w:tab w:val="left" w:pos="708"/>
        </w:tabs>
        <w:spacing w:before="0" w:after="200" w:line="276" w:lineRule="auto"/>
      </w:pPr>
      <w:r>
        <w:rPr>
          <w:rFonts w:ascii="Garamond" w:eastAsia="Garamond" w:hAnsi="Garamond" w:cs="Garamond"/>
          <w:sz w:val="24"/>
        </w:rPr>
        <w:t xml:space="preserve"> </w:t>
      </w:r>
    </w:p>
    <w:p w:rsidR="00211795" w:rsidRDefault="00211795">
      <w:pPr>
        <w:tabs>
          <w:tab w:val="left" w:pos="708"/>
        </w:tabs>
        <w:spacing w:before="0" w:after="200" w:line="276" w:lineRule="auto"/>
      </w:pPr>
    </w:p>
    <w:p w:rsidR="00211795" w:rsidRDefault="00F663D5">
      <w:pPr>
        <w:tabs>
          <w:tab w:val="left" w:pos="708"/>
        </w:tabs>
        <w:spacing w:before="0" w:after="200" w:line="276" w:lineRule="auto"/>
      </w:pPr>
      <w:r>
        <w:rPr>
          <w:rFonts w:ascii="Garamond" w:eastAsia="Garamond" w:hAnsi="Garamond" w:cs="Garamond"/>
          <w:sz w:val="24"/>
        </w:rPr>
        <w:lastRenderedPageBreak/>
        <w:t> </w:t>
      </w:r>
    </w:p>
    <w:p w:rsidR="00211795" w:rsidRDefault="00211795">
      <w:pPr>
        <w:tabs>
          <w:tab w:val="left" w:pos="708"/>
        </w:tabs>
        <w:spacing w:before="0" w:after="200" w:line="276" w:lineRule="auto"/>
      </w:pPr>
    </w:p>
    <w:p w:rsidR="00211795" w:rsidRDefault="00F663D5">
      <w:pPr>
        <w:spacing w:before="0" w:after="240"/>
        <w:ind w:left="284" w:hanging="282"/>
      </w:pPr>
      <w:r>
        <w:rPr>
          <w:rFonts w:ascii="Garamond" w:eastAsia="Garamond" w:hAnsi="Garamond" w:cs="Garamond"/>
          <w:sz w:val="24"/>
        </w:rPr>
        <w:t xml:space="preserve"> </w:t>
      </w:r>
    </w:p>
    <w:sectPr w:rsidR="00211795" w:rsidSect="00BE4DD9">
      <w:headerReference w:type="even" r:id="rId8"/>
      <w:headerReference w:type="default" r:id="rId9"/>
      <w:footerReference w:type="even" r:id="rId10"/>
      <w:footerReference w:type="default" r:id="rId11"/>
      <w:headerReference w:type="first" r:id="rId12"/>
      <w:footerReference w:type="first" r:id="rId13"/>
      <w:pgSz w:w="11900" w:h="16837"/>
      <w:pgMar w:top="3572" w:right="3119" w:bottom="3572" w:left="31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1F" w:rsidRDefault="00CF691F">
      <w:pPr>
        <w:spacing w:before="0" w:after="0"/>
      </w:pPr>
      <w:r>
        <w:separator/>
      </w:r>
    </w:p>
  </w:endnote>
  <w:endnote w:type="continuationSeparator" w:id="0">
    <w:p w:rsidR="00CF691F" w:rsidRDefault="00CF69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ttrocen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26" w:rsidRDefault="0096182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26" w:rsidRDefault="0096182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26" w:rsidRDefault="009618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1F" w:rsidRDefault="00CF691F">
      <w:pPr>
        <w:spacing w:before="0" w:after="0"/>
      </w:pPr>
      <w:r>
        <w:separator/>
      </w:r>
    </w:p>
  </w:footnote>
  <w:footnote w:type="continuationSeparator" w:id="0">
    <w:p w:rsidR="00CF691F" w:rsidRDefault="00CF691F">
      <w:pPr>
        <w:spacing w:before="0" w:after="0"/>
      </w:pPr>
      <w:r>
        <w:continuationSeparator/>
      </w:r>
    </w:p>
  </w:footnote>
  <w:footnote w:id="1">
    <w:p w:rsidR="00211795" w:rsidRDefault="00F663D5">
      <w:r>
        <w:rPr>
          <w:vertAlign w:val="superscript"/>
        </w:rPr>
        <w:footnoteRef/>
      </w:r>
      <w:r>
        <w:rPr>
          <w:sz w:val="24"/>
        </w:rPr>
        <w:t xml:space="preserve"> Nicole </w:t>
      </w:r>
      <w:proofErr w:type="spellStart"/>
      <w:r>
        <w:rPr>
          <w:sz w:val="24"/>
        </w:rPr>
        <w:t>Denoit</w:t>
      </w:r>
      <w:proofErr w:type="spellEnd"/>
      <w:r>
        <w:rPr>
          <w:sz w:val="24"/>
        </w:rPr>
        <w:t xml:space="preserve">, Julie </w:t>
      </w:r>
      <w:proofErr w:type="spellStart"/>
      <w:r>
        <w:rPr>
          <w:sz w:val="24"/>
        </w:rPr>
        <w:t>Corteville</w:t>
      </w:r>
      <w:proofErr w:type="spellEnd"/>
      <w:r>
        <w:rPr>
          <w:sz w:val="24"/>
        </w:rPr>
        <w:t xml:space="preserve">, « Le musée et l’œuvre ouverte », une descendance du </w:t>
      </w:r>
      <w:r w:rsidRPr="00DE3471">
        <w:rPr>
          <w:i/>
          <w:sz w:val="24"/>
        </w:rPr>
        <w:t>Musée imaginaire</w:t>
      </w:r>
      <w:r>
        <w:rPr>
          <w:sz w:val="24"/>
        </w:rPr>
        <w:t xml:space="preserve"> ?, Bernadette </w:t>
      </w:r>
      <w:proofErr w:type="spellStart"/>
      <w:r>
        <w:rPr>
          <w:sz w:val="24"/>
        </w:rPr>
        <w:t>Dufrêne</w:t>
      </w:r>
      <w:proofErr w:type="spellEnd"/>
      <w:r>
        <w:rPr>
          <w:sz w:val="24"/>
        </w:rPr>
        <w:t xml:space="preserve"> (</w:t>
      </w:r>
      <w:proofErr w:type="spellStart"/>
      <w:r>
        <w:rPr>
          <w:sz w:val="24"/>
        </w:rPr>
        <w:t>dir</w:t>
      </w:r>
      <w:proofErr w:type="spellEnd"/>
      <w:r>
        <w:rPr>
          <w:sz w:val="24"/>
        </w:rPr>
        <w:t xml:space="preserve">), </w:t>
      </w:r>
      <w:r>
        <w:rPr>
          <w:i/>
          <w:sz w:val="24"/>
        </w:rPr>
        <w:t>Patrimoines et humanités numériques : quelles formations ?</w:t>
      </w:r>
      <w:r>
        <w:rPr>
          <w:sz w:val="24"/>
        </w:rPr>
        <w:t xml:space="preserve">, Berlin, Lit </w:t>
      </w:r>
      <w:proofErr w:type="spellStart"/>
      <w:r>
        <w:rPr>
          <w:sz w:val="24"/>
        </w:rPr>
        <w:t>Verlag</w:t>
      </w:r>
      <w:proofErr w:type="spellEnd"/>
      <w:r>
        <w:rPr>
          <w:sz w:val="24"/>
        </w:rPr>
        <w:t xml:space="preserve"> (à paraître)</w:t>
      </w:r>
    </w:p>
  </w:footnote>
  <w:footnote w:id="2">
    <w:p w:rsidR="00AB0D33" w:rsidRDefault="00AB0D33">
      <w:pPr>
        <w:pStyle w:val="Notedebasdepage"/>
      </w:pPr>
      <w:r>
        <w:rPr>
          <w:rStyle w:val="Appelnotedebasdep"/>
        </w:rPr>
        <w:footnoteRef/>
      </w:r>
      <w:r w:rsidR="004676E4">
        <w:t xml:space="preserve"> </w:t>
      </w:r>
      <w:r w:rsidR="00947DE4">
        <w:t>André</w:t>
      </w:r>
      <w:r>
        <w:t xml:space="preserve"> Malraux, </w:t>
      </w:r>
      <w:r w:rsidRPr="00AB0D33">
        <w:rPr>
          <w:i/>
        </w:rPr>
        <w:t>Le musée imaginaire</w:t>
      </w:r>
      <w:r>
        <w:t>, Folio Essais, Gallimard, 1996, p.115</w:t>
      </w:r>
    </w:p>
  </w:footnote>
  <w:footnote w:id="3">
    <w:p w:rsidR="00211795" w:rsidRDefault="00F663D5">
      <w:pPr>
        <w:spacing w:before="0" w:after="0"/>
        <w:ind w:firstLine="0"/>
      </w:pPr>
      <w:r>
        <w:rPr>
          <w:vertAlign w:val="superscript"/>
        </w:rPr>
        <w:footnoteRef/>
      </w:r>
      <w:r>
        <w:rPr>
          <w:rFonts w:ascii="Garamond" w:eastAsia="Garamond" w:hAnsi="Garamond" w:cs="Garamond"/>
          <w:sz w:val="18"/>
          <w:vertAlign w:val="superscript"/>
        </w:rPr>
        <w:tab/>
      </w:r>
      <w:r>
        <w:rPr>
          <w:rFonts w:ascii="Garamond" w:eastAsia="Garamond" w:hAnsi="Garamond" w:cs="Garamond"/>
          <w:sz w:val="18"/>
        </w:rPr>
        <w:t xml:space="preserve"> </w:t>
      </w:r>
      <w:r>
        <w:rPr>
          <w:rFonts w:ascii="Garamond" w:eastAsia="Garamond" w:hAnsi="Garamond" w:cs="Garamond"/>
          <w:smallCaps/>
          <w:sz w:val="18"/>
        </w:rPr>
        <w:t>Malraux</w:t>
      </w:r>
      <w:r>
        <w:rPr>
          <w:rFonts w:ascii="Garamond" w:eastAsia="Garamond" w:hAnsi="Garamond" w:cs="Garamond"/>
          <w:sz w:val="18"/>
        </w:rPr>
        <w:t xml:space="preserve"> André, </w:t>
      </w:r>
      <w:r>
        <w:rPr>
          <w:rFonts w:ascii="Garamond" w:eastAsia="Garamond" w:hAnsi="Garamond" w:cs="Garamond"/>
          <w:i/>
          <w:sz w:val="18"/>
        </w:rPr>
        <w:t>le Musée imaginaire</w:t>
      </w:r>
      <w:r>
        <w:rPr>
          <w:rFonts w:ascii="Garamond" w:eastAsia="Garamond" w:hAnsi="Garamond" w:cs="Garamond"/>
          <w:sz w:val="18"/>
        </w:rPr>
        <w:t>, Gallimard, Folio essais, p.13</w:t>
      </w:r>
    </w:p>
    <w:p w:rsidR="00211795" w:rsidRDefault="00211795">
      <w:pPr>
        <w:spacing w:before="0" w:after="0"/>
        <w:ind w:firstLine="0"/>
      </w:pPr>
    </w:p>
  </w:footnote>
  <w:footnote w:id="4">
    <w:p w:rsidR="00A1427A" w:rsidRDefault="00A1427A" w:rsidP="00A1427A">
      <w:pPr>
        <w:pStyle w:val="Notedebasdepage"/>
      </w:pPr>
      <w:r>
        <w:rPr>
          <w:rStyle w:val="Appelnotedebasdep"/>
        </w:rPr>
        <w:footnoteRef/>
      </w:r>
      <w:r>
        <w:t xml:space="preserve"> Octave </w:t>
      </w:r>
      <w:proofErr w:type="spellStart"/>
      <w:r>
        <w:t>Debary</w:t>
      </w:r>
      <w:proofErr w:type="spellEnd"/>
      <w:r>
        <w:t xml:space="preserve">, Mélanie Roustan, </w:t>
      </w:r>
      <w:r w:rsidRPr="00BD4D04">
        <w:rPr>
          <w:i/>
        </w:rPr>
        <w:t>Voyage au musée du quai Branly</w:t>
      </w:r>
      <w:r>
        <w:t>, La documentation Française, 2012, p.38</w:t>
      </w:r>
    </w:p>
    <w:p w:rsidR="00A1427A" w:rsidRDefault="00A1427A" w:rsidP="00A1427A">
      <w:pPr>
        <w:pStyle w:val="Notedebasdepage"/>
      </w:pPr>
    </w:p>
    <w:p w:rsidR="00A1427A" w:rsidRDefault="00A1427A">
      <w:pPr>
        <w:pStyle w:val="Notedebasdepage"/>
      </w:pPr>
    </w:p>
  </w:footnote>
  <w:footnote w:id="5">
    <w:p w:rsidR="007F76C4" w:rsidRPr="003F3142" w:rsidRDefault="007F76C4" w:rsidP="007F76C4">
      <w:pPr>
        <w:pStyle w:val="Notedebasdepage"/>
        <w:rPr>
          <w:i/>
        </w:rPr>
      </w:pPr>
      <w:r>
        <w:rPr>
          <w:rStyle w:val="Appelnotedebasdep"/>
        </w:rPr>
        <w:footnoteRef/>
      </w:r>
      <w:r w:rsidRPr="003F3142">
        <w:t xml:space="preserve"> </w:t>
      </w:r>
      <w:r w:rsidR="00A1427A" w:rsidRPr="003F3142">
        <w:rPr>
          <w:i/>
        </w:rPr>
        <w:t>Ibid.</w:t>
      </w:r>
    </w:p>
    <w:p w:rsidR="007F76C4" w:rsidRPr="003F3142" w:rsidRDefault="007F76C4">
      <w:pPr>
        <w:pStyle w:val="Notedebasdepage"/>
      </w:pPr>
    </w:p>
  </w:footnote>
  <w:footnote w:id="6">
    <w:p w:rsidR="00C7641D" w:rsidRPr="003F3142" w:rsidRDefault="00C7641D">
      <w:pPr>
        <w:pStyle w:val="Notedebasdepage"/>
      </w:pPr>
      <w:r w:rsidRPr="00C7641D">
        <w:rPr>
          <w:rStyle w:val="Appelnotedebasdep"/>
          <w:i/>
        </w:rPr>
        <w:footnoteRef/>
      </w:r>
      <w:r w:rsidRPr="003F3142">
        <w:rPr>
          <w:i/>
        </w:rPr>
        <w:t xml:space="preserve"> Ibid</w:t>
      </w:r>
      <w:r w:rsidRPr="003F3142">
        <w:t>.</w:t>
      </w:r>
    </w:p>
  </w:footnote>
  <w:footnote w:id="7">
    <w:p w:rsidR="003C78C1" w:rsidRPr="003F3142" w:rsidRDefault="003C78C1">
      <w:pPr>
        <w:pStyle w:val="Notedebasdepage"/>
      </w:pPr>
      <w:r>
        <w:rPr>
          <w:rStyle w:val="Appelnotedebasdep"/>
        </w:rPr>
        <w:footnoteRef/>
      </w:r>
      <w:r w:rsidRPr="003F3142">
        <w:t xml:space="preserve"> </w:t>
      </w:r>
      <w:r w:rsidR="002622E3" w:rsidRPr="003F3142">
        <w:rPr>
          <w:i/>
        </w:rPr>
        <w:t>Ibid.</w:t>
      </w:r>
      <w:r w:rsidR="002622E3" w:rsidRPr="003F3142">
        <w:t>p.14</w:t>
      </w:r>
    </w:p>
  </w:footnote>
  <w:footnote w:id="8">
    <w:p w:rsidR="00D52745" w:rsidRDefault="00B4686D">
      <w:pPr>
        <w:pStyle w:val="Notedebasdepage"/>
      </w:pPr>
      <w:r>
        <w:rPr>
          <w:rStyle w:val="Appelnotedebasdep"/>
        </w:rPr>
        <w:footnoteRef/>
      </w:r>
      <w:r>
        <w:t xml:space="preserve"> </w:t>
      </w:r>
      <w:proofErr w:type="spellStart"/>
      <w:r>
        <w:t>Milad</w:t>
      </w:r>
      <w:proofErr w:type="spellEnd"/>
      <w:r>
        <w:t xml:space="preserve"> </w:t>
      </w:r>
      <w:proofErr w:type="spellStart"/>
      <w:r>
        <w:t>Doueihi</w:t>
      </w:r>
      <w:proofErr w:type="spellEnd"/>
      <w:r w:rsidR="00D52745" w:rsidRPr="00D52745">
        <w:rPr>
          <w:i/>
        </w:rPr>
        <w:t>, Pour un humanisme numérique,</w:t>
      </w:r>
      <w:r w:rsidR="00D52745">
        <w:t xml:space="preserve"> Seuil, 2011, </w:t>
      </w:r>
    </w:p>
    <w:p w:rsidR="00B4686D" w:rsidRDefault="00D52745">
      <w:pPr>
        <w:pStyle w:val="Notedebasdepage"/>
      </w:pPr>
      <w:r>
        <w:t xml:space="preserve">  p .106</w:t>
      </w:r>
    </w:p>
  </w:footnote>
  <w:footnote w:id="9">
    <w:p w:rsidR="00D52745" w:rsidRDefault="00D52745">
      <w:pPr>
        <w:pStyle w:val="Notedebasdepage"/>
      </w:pPr>
      <w:r>
        <w:rPr>
          <w:rStyle w:val="Appelnotedebasdep"/>
        </w:rPr>
        <w:footnoteRef/>
      </w:r>
      <w:r>
        <w:t xml:space="preserve"> Ibid.</w:t>
      </w:r>
    </w:p>
  </w:footnote>
  <w:footnote w:id="10">
    <w:p w:rsidR="008F41DE" w:rsidRDefault="008F41DE" w:rsidP="008F41DE">
      <w:pPr>
        <w:spacing w:before="0" w:after="0"/>
        <w:ind w:firstLine="0"/>
      </w:pPr>
      <w:r>
        <w:rPr>
          <w:vertAlign w:val="superscript"/>
        </w:rPr>
        <w:t>6</w:t>
      </w:r>
      <w:r>
        <w:rPr>
          <w:rFonts w:ascii="Garamond" w:eastAsia="Garamond" w:hAnsi="Garamond" w:cs="Garamond"/>
          <w:sz w:val="18"/>
          <w:vertAlign w:val="superscript"/>
        </w:rPr>
        <w:tab/>
      </w:r>
      <w:r>
        <w:rPr>
          <w:rFonts w:ascii="Garamond" w:eastAsia="Garamond" w:hAnsi="Garamond" w:cs="Garamond"/>
          <w:sz w:val="18"/>
        </w:rPr>
        <w:t xml:space="preserve"> Ibid.</w:t>
      </w:r>
    </w:p>
    <w:p w:rsidR="008F41DE" w:rsidRDefault="008F41DE" w:rsidP="008F41DE">
      <w:pPr>
        <w:spacing w:before="0" w:after="0"/>
        <w:ind w:firstLine="0"/>
      </w:pPr>
    </w:p>
  </w:footnote>
  <w:footnote w:id="11">
    <w:p w:rsidR="007A5FE4" w:rsidRPr="003F3142" w:rsidRDefault="00F663D5">
      <w:pPr>
        <w:spacing w:before="0" w:after="0"/>
        <w:ind w:firstLine="0"/>
        <w:rPr>
          <w:rFonts w:ascii="Garamond" w:eastAsia="Garamond" w:hAnsi="Garamond" w:cs="Garamond"/>
          <w:smallCaps/>
          <w:sz w:val="18"/>
        </w:rPr>
      </w:pPr>
      <w:r>
        <w:rPr>
          <w:vertAlign w:val="superscript"/>
        </w:rPr>
        <w:footnoteRef/>
      </w:r>
      <w:r w:rsidRPr="003F3142">
        <w:rPr>
          <w:rFonts w:ascii="Garamond" w:eastAsia="Garamond" w:hAnsi="Garamond" w:cs="Garamond"/>
          <w:sz w:val="18"/>
          <w:vertAlign w:val="superscript"/>
        </w:rPr>
        <w:tab/>
      </w:r>
      <w:r w:rsidRPr="003F3142">
        <w:rPr>
          <w:rFonts w:ascii="Garamond" w:eastAsia="Garamond" w:hAnsi="Garamond" w:cs="Garamond"/>
          <w:smallCaps/>
          <w:sz w:val="18"/>
        </w:rPr>
        <w:t xml:space="preserve"> </w:t>
      </w:r>
    </w:p>
    <w:p w:rsidR="00211795" w:rsidRPr="005A605C" w:rsidRDefault="00F663D5" w:rsidP="005A605C">
      <w:pPr>
        <w:ind w:firstLine="0"/>
        <w:rPr>
          <w:b/>
        </w:rPr>
      </w:pPr>
      <w:r w:rsidRPr="0061656E">
        <w:rPr>
          <w:rFonts w:ascii="Garamond" w:eastAsia="Garamond" w:hAnsi="Garamond" w:cs="Garamond"/>
          <w:sz w:val="18"/>
        </w:rPr>
        <w:t xml:space="preserve">, </w:t>
      </w:r>
      <w:r w:rsidR="005A605C">
        <w:rPr>
          <w:rFonts w:ascii="Garamond" w:eastAsia="Garamond" w:hAnsi="Garamond" w:cs="Garamond"/>
          <w:sz w:val="18"/>
        </w:rPr>
        <w:t xml:space="preserve"> André</w:t>
      </w:r>
      <w:r w:rsidR="00222230">
        <w:rPr>
          <w:rFonts w:ascii="Garamond" w:eastAsia="Garamond" w:hAnsi="Garamond" w:cs="Garamond"/>
          <w:sz w:val="18"/>
        </w:rPr>
        <w:t xml:space="preserve"> Malraux</w:t>
      </w:r>
      <w:r w:rsidR="005A605C">
        <w:rPr>
          <w:rFonts w:ascii="Garamond" w:eastAsia="Garamond" w:hAnsi="Garamond" w:cs="Garamond"/>
          <w:sz w:val="18"/>
        </w:rPr>
        <w:t xml:space="preserve">, </w:t>
      </w:r>
      <w:r w:rsidR="005A605C" w:rsidRPr="005A605C">
        <w:rPr>
          <w:rFonts w:ascii="Garamond" w:eastAsia="Garamond" w:hAnsi="Garamond" w:cs="Garamond"/>
          <w:i/>
          <w:sz w:val="18"/>
        </w:rPr>
        <w:t>Le musée imaginaire</w:t>
      </w:r>
      <w:r w:rsidR="005A605C">
        <w:rPr>
          <w:rFonts w:ascii="Garamond" w:eastAsia="Garamond" w:hAnsi="Garamond" w:cs="Garamond"/>
          <w:sz w:val="18"/>
        </w:rPr>
        <w:t xml:space="preserve">, </w:t>
      </w:r>
      <w:r w:rsidRPr="0061656E">
        <w:rPr>
          <w:rFonts w:ascii="Garamond" w:eastAsia="Garamond" w:hAnsi="Garamond" w:cs="Garamond"/>
          <w:sz w:val="18"/>
        </w:rPr>
        <w:t>Gallimard, Fol</w:t>
      </w:r>
      <w:r w:rsidRPr="005A605C">
        <w:rPr>
          <w:rFonts w:ascii="Garamond" w:eastAsia="Garamond" w:hAnsi="Garamond" w:cs="Garamond"/>
          <w:sz w:val="18"/>
        </w:rPr>
        <w:t>io Essais, 2010, p.160-161</w:t>
      </w:r>
    </w:p>
    <w:p w:rsidR="00211795" w:rsidRPr="005A605C" w:rsidRDefault="00211795">
      <w:pPr>
        <w:spacing w:before="0" w:after="0"/>
        <w:ind w:firstLine="0"/>
      </w:pPr>
    </w:p>
  </w:footnote>
  <w:footnote w:id="12">
    <w:p w:rsidR="00222230" w:rsidRDefault="00222230">
      <w:pPr>
        <w:pStyle w:val="Notedebasdepage"/>
      </w:pPr>
      <w:r>
        <w:rPr>
          <w:rStyle w:val="Appelnotedebasdep"/>
        </w:rPr>
        <w:footnoteRef/>
      </w:r>
      <w:r>
        <w:t xml:space="preserve"> Charles</w:t>
      </w:r>
      <w:r w:rsidR="006E43A0">
        <w:t xml:space="preserve"> Baudelaire, </w:t>
      </w:r>
      <w:r w:rsidR="003F3142">
        <w:t>"</w:t>
      </w:r>
      <w:r w:rsidR="006E43A0" w:rsidRPr="006E43A0">
        <w:rPr>
          <w:i/>
        </w:rPr>
        <w:t>L</w:t>
      </w:r>
      <w:r w:rsidRPr="006E43A0">
        <w:rPr>
          <w:i/>
        </w:rPr>
        <w:t>e public moderne et la photographie</w:t>
      </w:r>
      <w:r w:rsidR="003F3142">
        <w:rPr>
          <w:i/>
        </w:rPr>
        <w:t>"</w:t>
      </w:r>
      <w:r w:rsidRPr="006E43A0">
        <w:rPr>
          <w:i/>
        </w:rPr>
        <w:t>, Le Salon de 1859</w:t>
      </w:r>
      <w:r w:rsidR="006E43A0">
        <w:rPr>
          <w:i/>
        </w:rPr>
        <w:t>,</w:t>
      </w:r>
      <w:r>
        <w:t xml:space="preserve"> publié </w:t>
      </w:r>
      <w:r w:rsidRPr="006E43A0">
        <w:rPr>
          <w:i/>
        </w:rPr>
        <w:t>dans La Revue française</w:t>
      </w:r>
      <w:r>
        <w:t xml:space="preserve">, </w:t>
      </w:r>
      <w:proofErr w:type="gramStart"/>
      <w:r>
        <w:t>Paris ,</w:t>
      </w:r>
      <w:proofErr w:type="gramEnd"/>
      <w:r>
        <w:t xml:space="preserve"> 1859 </w:t>
      </w:r>
    </w:p>
  </w:footnote>
  <w:footnote w:id="13">
    <w:p w:rsidR="006E43A0" w:rsidRPr="006E43A0" w:rsidRDefault="006E43A0" w:rsidP="006E43A0">
      <w:pPr>
        <w:pStyle w:val="Notedebasdepage"/>
      </w:pPr>
      <w:r>
        <w:rPr>
          <w:rStyle w:val="Appelnotedebasdep"/>
        </w:rPr>
        <w:footnoteRef/>
      </w:r>
      <w:r>
        <w:t xml:space="preserve"> Félix </w:t>
      </w:r>
      <w:proofErr w:type="spellStart"/>
      <w:r>
        <w:t>Thürlemann</w:t>
      </w:r>
      <w:proofErr w:type="spellEnd"/>
      <w:r>
        <w:t xml:space="preserve">, </w:t>
      </w:r>
      <w:proofErr w:type="spellStart"/>
      <w:r w:rsidRPr="006E43A0">
        <w:rPr>
          <w:i/>
        </w:rPr>
        <w:t>Mehr</w:t>
      </w:r>
      <w:proofErr w:type="spellEnd"/>
      <w:r w:rsidRPr="006E43A0">
        <w:rPr>
          <w:i/>
        </w:rPr>
        <w:t xml:space="preserve"> </w:t>
      </w:r>
      <w:proofErr w:type="spellStart"/>
      <w:r w:rsidRPr="006E43A0">
        <w:rPr>
          <w:i/>
        </w:rPr>
        <w:t>als</w:t>
      </w:r>
      <w:proofErr w:type="spellEnd"/>
      <w:r w:rsidRPr="006E43A0">
        <w:rPr>
          <w:i/>
        </w:rPr>
        <w:t xml:space="preserve"> </w:t>
      </w:r>
      <w:proofErr w:type="spellStart"/>
      <w:r w:rsidRPr="006E43A0">
        <w:rPr>
          <w:i/>
        </w:rPr>
        <w:t>ein</w:t>
      </w:r>
      <w:proofErr w:type="spellEnd"/>
      <w:r w:rsidRPr="006E43A0">
        <w:rPr>
          <w:i/>
        </w:rPr>
        <w:t xml:space="preserve"> </w:t>
      </w:r>
      <w:proofErr w:type="spellStart"/>
      <w:r w:rsidRPr="006E43A0">
        <w:rPr>
          <w:i/>
        </w:rPr>
        <w:t>Bild</w:t>
      </w:r>
      <w:proofErr w:type="spellEnd"/>
      <w:r w:rsidRPr="006E43A0">
        <w:rPr>
          <w:i/>
        </w:rPr>
        <w:t xml:space="preserve">. </w:t>
      </w:r>
      <w:proofErr w:type="spellStart"/>
      <w:r w:rsidRPr="006E43A0">
        <w:rPr>
          <w:i/>
        </w:rPr>
        <w:t>Für</w:t>
      </w:r>
      <w:proofErr w:type="spellEnd"/>
      <w:r w:rsidRPr="006E43A0">
        <w:rPr>
          <w:i/>
        </w:rPr>
        <w:t xml:space="preserve"> </w:t>
      </w:r>
      <w:proofErr w:type="spellStart"/>
      <w:r w:rsidRPr="006E43A0">
        <w:rPr>
          <w:i/>
        </w:rPr>
        <w:t>eine</w:t>
      </w:r>
      <w:proofErr w:type="spellEnd"/>
      <w:r w:rsidRPr="006E43A0">
        <w:rPr>
          <w:i/>
        </w:rPr>
        <w:t xml:space="preserve"> </w:t>
      </w:r>
      <w:proofErr w:type="spellStart"/>
      <w:r w:rsidRPr="006E43A0">
        <w:rPr>
          <w:i/>
        </w:rPr>
        <w:t>Kunstgeschichte</w:t>
      </w:r>
      <w:proofErr w:type="spellEnd"/>
      <w:r w:rsidRPr="006E43A0">
        <w:rPr>
          <w:i/>
        </w:rPr>
        <w:t xml:space="preserve"> des </w:t>
      </w:r>
      <w:proofErr w:type="spellStart"/>
      <w:r w:rsidRPr="006E43A0">
        <w:rPr>
          <w:i/>
        </w:rPr>
        <w:t>Hyperimage</w:t>
      </w:r>
      <w:proofErr w:type="spellEnd"/>
      <w:r w:rsidRPr="006E43A0">
        <w:rPr>
          <w:i/>
        </w:rPr>
        <w:t>,</w:t>
      </w:r>
      <w:r w:rsidRPr="006E43A0">
        <w:t xml:space="preserve"> Wilhelm Fink </w:t>
      </w:r>
      <w:proofErr w:type="spellStart"/>
      <w:r w:rsidRPr="006E43A0">
        <w:t>Verlag</w:t>
      </w:r>
      <w:proofErr w:type="spellEnd"/>
      <w:r w:rsidRPr="006E43A0">
        <w:t xml:space="preserve">, </w:t>
      </w:r>
      <w:proofErr w:type="spellStart"/>
      <w:r w:rsidRPr="006E43A0">
        <w:t>Münich</w:t>
      </w:r>
      <w:proofErr w:type="spellEnd"/>
      <w:r w:rsidRPr="006E43A0">
        <w:t>, 2013</w:t>
      </w:r>
    </w:p>
    <w:p w:rsidR="006E43A0" w:rsidRDefault="006E43A0">
      <w:pPr>
        <w:pStyle w:val="Notedebasdepage"/>
      </w:pPr>
    </w:p>
  </w:footnote>
  <w:footnote w:id="14">
    <w:p w:rsidR="006E43A0" w:rsidRDefault="006E43A0">
      <w:pPr>
        <w:pStyle w:val="Notedebasdepage"/>
      </w:pPr>
      <w:r>
        <w:rPr>
          <w:rStyle w:val="Appelnotedebasdep"/>
        </w:rPr>
        <w:footnoteRef/>
      </w:r>
      <w:r>
        <w:t xml:space="preserve"> </w:t>
      </w:r>
      <w:proofErr w:type="spellStart"/>
      <w:r>
        <w:t>Aby</w:t>
      </w:r>
      <w:proofErr w:type="spellEnd"/>
      <w:r>
        <w:t xml:space="preserve"> Warburg, </w:t>
      </w:r>
      <w:r w:rsidRPr="006E43A0">
        <w:rPr>
          <w:i/>
        </w:rPr>
        <w:t>L’Atlas Mnémosyne</w:t>
      </w:r>
      <w:r>
        <w:t xml:space="preserve">, avec un essai de Roland </w:t>
      </w:r>
      <w:proofErr w:type="spellStart"/>
      <w:r>
        <w:t>Recht</w:t>
      </w:r>
      <w:proofErr w:type="spellEnd"/>
      <w:r>
        <w:t xml:space="preserve">. Textes traduits de l’allemand par Sacha </w:t>
      </w:r>
      <w:proofErr w:type="spellStart"/>
      <w:r>
        <w:t>Zilberfarb</w:t>
      </w:r>
      <w:proofErr w:type="spellEnd"/>
      <w:r>
        <w:t>, INHA, Paris, 2012</w:t>
      </w:r>
    </w:p>
  </w:footnote>
  <w:footnote w:id="15">
    <w:p w:rsidR="006E43A0" w:rsidRDefault="006E43A0">
      <w:pPr>
        <w:pStyle w:val="Notedebasdepage"/>
      </w:pPr>
      <w:r>
        <w:rPr>
          <w:rStyle w:val="Appelnotedebasdep"/>
        </w:rPr>
        <w:footnoteRef/>
      </w:r>
      <w:r>
        <w:t xml:space="preserve"> Walter Benjamin, </w:t>
      </w:r>
      <w:r w:rsidR="00B948A3" w:rsidRPr="00B948A3">
        <w:rPr>
          <w:i/>
        </w:rPr>
        <w:t>L</w:t>
      </w:r>
      <w:r w:rsidR="007E5A89">
        <w:rPr>
          <w:i/>
        </w:rPr>
        <w:t>’œuvre d’art à l’époque</w:t>
      </w:r>
      <w:r w:rsidRPr="00B948A3">
        <w:rPr>
          <w:i/>
        </w:rPr>
        <w:t xml:space="preserve"> de sa reproductibilité technique,</w:t>
      </w:r>
      <w:r w:rsidR="003F3142">
        <w:t xml:space="preserve"> première version </w:t>
      </w:r>
      <w:proofErr w:type="gramStart"/>
      <w:r w:rsidR="003F3142">
        <w:t>1935 ,</w:t>
      </w:r>
      <w:proofErr w:type="gramEnd"/>
      <w:r w:rsidR="003F3142">
        <w:t xml:space="preserve"> trad. </w:t>
      </w:r>
      <w:proofErr w:type="spellStart"/>
      <w:r w:rsidR="003F3142">
        <w:t>R.Rochhlitz</w:t>
      </w:r>
      <w:proofErr w:type="spellEnd"/>
      <w:r w:rsidR="003F3142">
        <w:t xml:space="preserve">, </w:t>
      </w:r>
      <w:proofErr w:type="spellStart"/>
      <w:r w:rsidR="003F3142" w:rsidRPr="003F3142">
        <w:rPr>
          <w:i/>
        </w:rPr>
        <w:t>Oeuvres</w:t>
      </w:r>
      <w:proofErr w:type="spellEnd"/>
      <w:r w:rsidR="003F3142">
        <w:t>, III (Gallimard, Paris, 2000), p. 67- 113.</w:t>
      </w:r>
    </w:p>
  </w:footnote>
  <w:footnote w:id="16">
    <w:p w:rsidR="00B948A3" w:rsidRDefault="00B948A3">
      <w:pPr>
        <w:pStyle w:val="Notedebasdepage"/>
      </w:pPr>
      <w:r>
        <w:rPr>
          <w:rStyle w:val="Appelnotedebasdep"/>
        </w:rPr>
        <w:footnoteRef/>
      </w:r>
      <w:r>
        <w:t xml:space="preserve"> George Didi-</w:t>
      </w:r>
      <w:proofErr w:type="spellStart"/>
      <w:r>
        <w:t>Huberman</w:t>
      </w:r>
      <w:proofErr w:type="spellEnd"/>
      <w:r>
        <w:t xml:space="preserve">, </w:t>
      </w:r>
      <w:r w:rsidRPr="00B948A3">
        <w:rPr>
          <w:i/>
        </w:rPr>
        <w:t>L’Album de l’art à l’époque du Musée imaginaire,</w:t>
      </w:r>
      <w:r>
        <w:t xml:space="preserve"> Louvre  éditions La Chaire du Louvre, Hazan, Paris, 2013 </w:t>
      </w:r>
    </w:p>
  </w:footnote>
  <w:footnote w:id="17">
    <w:p w:rsidR="00B948A3" w:rsidRDefault="00B948A3">
      <w:pPr>
        <w:pStyle w:val="Notedebasdepage"/>
      </w:pPr>
      <w:r>
        <w:rPr>
          <w:rStyle w:val="Appelnotedebasdep"/>
        </w:rPr>
        <w:footnoteRef/>
      </w:r>
      <w:r>
        <w:t xml:space="preserve"> Armand </w:t>
      </w:r>
      <w:proofErr w:type="spellStart"/>
      <w:r>
        <w:t>Gisinger</w:t>
      </w:r>
      <w:proofErr w:type="spellEnd"/>
      <w:r>
        <w:t>, « </w:t>
      </w:r>
      <w:proofErr w:type="spellStart"/>
      <w:r>
        <w:t>After</w:t>
      </w:r>
      <w:proofErr w:type="spellEnd"/>
      <w:r>
        <w:t xml:space="preserve"> Atlas in Palais », </w:t>
      </w:r>
      <w:r w:rsidRPr="00B948A3">
        <w:rPr>
          <w:i/>
        </w:rPr>
        <w:t>Le magazine du Palais de Tokyo,</w:t>
      </w:r>
      <w:r>
        <w:t xml:space="preserve"> n°19, février 2014, p.197-204</w:t>
      </w:r>
    </w:p>
  </w:footnote>
  <w:footnote w:id="18">
    <w:p w:rsidR="00B948A3" w:rsidRPr="007E5A89" w:rsidRDefault="00B948A3">
      <w:pPr>
        <w:pStyle w:val="Notedebasdepage"/>
      </w:pPr>
      <w:r>
        <w:rPr>
          <w:rStyle w:val="Appelnotedebasdep"/>
        </w:rPr>
        <w:footnoteRef/>
      </w:r>
      <w:r w:rsidR="006722B8" w:rsidRPr="007E5A89">
        <w:t xml:space="preserve"> </w:t>
      </w:r>
      <w:r w:rsidR="006722B8" w:rsidRPr="007E5A89">
        <w:rPr>
          <w:i/>
        </w:rPr>
        <w:t>Ibid</w:t>
      </w:r>
      <w:r w:rsidR="006722B8" w:rsidRPr="007E5A89">
        <w:t xml:space="preserve">. </w:t>
      </w:r>
      <w:r w:rsidRPr="007E5A89">
        <w:t>p.200</w:t>
      </w:r>
    </w:p>
  </w:footnote>
  <w:footnote w:id="19">
    <w:p w:rsidR="00B948A3" w:rsidRPr="007E5A89" w:rsidRDefault="00B948A3">
      <w:pPr>
        <w:pStyle w:val="Notedebasdepage"/>
      </w:pPr>
      <w:r>
        <w:rPr>
          <w:rStyle w:val="Appelnotedebasdep"/>
        </w:rPr>
        <w:footnoteRef/>
      </w:r>
      <w:r w:rsidR="007E5A89">
        <w:t xml:space="preserve"> Walter Benjamin, </w:t>
      </w:r>
      <w:r w:rsidR="007E5A89" w:rsidRPr="007E5A89">
        <w:rPr>
          <w:i/>
        </w:rPr>
        <w:t>L'</w:t>
      </w:r>
      <w:proofErr w:type="spellStart"/>
      <w:r w:rsidR="007E5A89" w:rsidRPr="007E5A89">
        <w:rPr>
          <w:i/>
        </w:rPr>
        <w:t>oeuvre</w:t>
      </w:r>
      <w:proofErr w:type="spellEnd"/>
      <w:r w:rsidR="007E5A89" w:rsidRPr="007E5A89">
        <w:rPr>
          <w:i/>
        </w:rPr>
        <w:t xml:space="preserve"> d'art à l'époque de sa reproductibilité technique</w:t>
      </w:r>
      <w:r w:rsidR="007E5A89">
        <w:t>, Paris Allia, 2012, 94p.</w:t>
      </w:r>
    </w:p>
  </w:footnote>
  <w:footnote w:id="20">
    <w:p w:rsidR="009D61D4" w:rsidRDefault="009D61D4">
      <w:pPr>
        <w:pStyle w:val="Notedebasdepage"/>
      </w:pPr>
      <w:r>
        <w:rPr>
          <w:rStyle w:val="Appelnotedebasdep"/>
        </w:rPr>
        <w:footnoteRef/>
      </w:r>
      <w:r>
        <w:t xml:space="preserve"> Carl Einstein, « Aphorismes méthodiques », </w:t>
      </w:r>
      <w:r w:rsidRPr="009D61D4">
        <w:rPr>
          <w:i/>
        </w:rPr>
        <w:t>Documents</w:t>
      </w:r>
      <w:r>
        <w:t>, 1929, n°1, cité par George D</w:t>
      </w:r>
      <w:r w:rsidR="006722B8">
        <w:t>idi-</w:t>
      </w:r>
      <w:proofErr w:type="spellStart"/>
      <w:r w:rsidR="006722B8">
        <w:t>Huberman</w:t>
      </w:r>
      <w:proofErr w:type="spellEnd"/>
      <w:r w:rsidR="006722B8">
        <w:t xml:space="preserve">, </w:t>
      </w:r>
      <w:proofErr w:type="spellStart"/>
      <w:proofErr w:type="gramStart"/>
      <w:r w:rsidR="006722B8">
        <w:t>opus.cit</w:t>
      </w:r>
      <w:proofErr w:type="spellEnd"/>
      <w:r w:rsidR="006722B8">
        <w:t>.,</w:t>
      </w:r>
      <w:proofErr w:type="gramEnd"/>
      <w:r w:rsidR="006722B8">
        <w:t xml:space="preserve">  p.17.</w:t>
      </w:r>
    </w:p>
  </w:footnote>
  <w:footnote w:id="21">
    <w:p w:rsidR="00CC4B6F" w:rsidRDefault="00CC4B6F">
      <w:pPr>
        <w:pStyle w:val="Notedebasdepage"/>
      </w:pPr>
      <w:r>
        <w:rPr>
          <w:rStyle w:val="Appelnotedebasdep"/>
        </w:rPr>
        <w:footnoteRef/>
      </w:r>
      <w:r>
        <w:t xml:space="preserve"> George Didi-</w:t>
      </w:r>
      <w:proofErr w:type="spellStart"/>
      <w:r>
        <w:t>Huberman</w:t>
      </w:r>
      <w:proofErr w:type="spellEnd"/>
      <w:r>
        <w:t xml:space="preserve">, « Une exposition à l’époque de sa reproductibilité technique », magazine </w:t>
      </w:r>
      <w:r w:rsidRPr="00CC4B6F">
        <w:rPr>
          <w:i/>
        </w:rPr>
        <w:t>Le Palais</w:t>
      </w:r>
      <w:r>
        <w:t xml:space="preserve">, 2014, p.192, </w:t>
      </w:r>
    </w:p>
  </w:footnote>
  <w:footnote w:id="22">
    <w:p w:rsidR="00CC4B6F" w:rsidRPr="00CC4B6F" w:rsidRDefault="00CC4B6F">
      <w:pPr>
        <w:pStyle w:val="Notedebasdepage"/>
        <w:rPr>
          <w:lang w:val="en-US"/>
        </w:rPr>
      </w:pPr>
      <w:r>
        <w:rPr>
          <w:rStyle w:val="Appelnotedebasdep"/>
        </w:rPr>
        <w:footnoteRef/>
      </w:r>
      <w:r w:rsidRPr="00CC4B6F">
        <w:rPr>
          <w:lang w:val="en-US"/>
        </w:rPr>
        <w:t xml:space="preserve"> Walter Benjamin</w:t>
      </w:r>
      <w:r w:rsidR="007E5A89">
        <w:rPr>
          <w:lang w:val="en-US"/>
        </w:rPr>
        <w:t xml:space="preserve"> 2002</w:t>
      </w:r>
      <w:r w:rsidRPr="00CC4B6F">
        <w:rPr>
          <w:lang w:val="en-US"/>
        </w:rPr>
        <w:t>, opus.cit, , p.69</w:t>
      </w:r>
    </w:p>
  </w:footnote>
  <w:footnote w:id="23">
    <w:p w:rsidR="008F41DE" w:rsidRDefault="008F41DE">
      <w:pPr>
        <w:pStyle w:val="Notedebasdepage"/>
      </w:pPr>
      <w:r>
        <w:rPr>
          <w:rStyle w:val="Appelnotedebasdep"/>
        </w:rPr>
        <w:footnoteRef/>
      </w:r>
      <w:r>
        <w:t xml:space="preserve"> Ibid.</w:t>
      </w:r>
    </w:p>
  </w:footnote>
  <w:footnote w:id="24">
    <w:p w:rsidR="00604735" w:rsidRDefault="00604735" w:rsidP="00604735">
      <w:pPr>
        <w:pStyle w:val="Notedebasdepage"/>
      </w:pPr>
      <w:r>
        <w:rPr>
          <w:rStyle w:val="Appelnotedebasdep"/>
        </w:rPr>
        <w:footnoteRef/>
      </w:r>
      <w:r>
        <w:t xml:space="preserve"> Patrice </w:t>
      </w:r>
      <w:proofErr w:type="spellStart"/>
      <w:r>
        <w:t>Flichy</w:t>
      </w:r>
      <w:proofErr w:type="spellEnd"/>
      <w:r w:rsidRPr="00F57143">
        <w:rPr>
          <w:i/>
        </w:rPr>
        <w:t>, Le sacre de l’amateur</w:t>
      </w:r>
      <w:r>
        <w:t>, 2010, Seuil</w:t>
      </w:r>
    </w:p>
  </w:footnote>
  <w:footnote w:id="25">
    <w:p w:rsidR="00604735" w:rsidRDefault="00604735" w:rsidP="00604735">
      <w:pPr>
        <w:pStyle w:val="Notedebasdepage"/>
        <w:ind w:firstLine="0"/>
      </w:pPr>
      <w:r>
        <w:t xml:space="preserve">5 Rancière Jacques, </w:t>
      </w:r>
      <w:r w:rsidRPr="005B0BC1">
        <w:rPr>
          <w:i/>
        </w:rPr>
        <w:t>Le spectateur émancipé,</w:t>
      </w:r>
      <w:r>
        <w:t xml:space="preserve"> La Fabrique éditions, 2008</w:t>
      </w:r>
    </w:p>
  </w:footnote>
  <w:footnote w:id="26">
    <w:p w:rsidR="009B3DFA" w:rsidRPr="009B3DFA" w:rsidRDefault="009B3DFA">
      <w:pPr>
        <w:pStyle w:val="Notedebasdepage"/>
      </w:pPr>
      <w:r>
        <w:rPr>
          <w:rStyle w:val="Appelnotedebasdep"/>
        </w:rPr>
        <w:footnoteRef/>
      </w:r>
      <w:r>
        <w:t xml:space="preserve"> Laurent </w:t>
      </w:r>
      <w:proofErr w:type="spellStart"/>
      <w:r>
        <w:t>Goumarre</w:t>
      </w:r>
      <w:proofErr w:type="spellEnd"/>
      <w:r>
        <w:t xml:space="preserve">, "Exposer la danse/ chorégraphier l'exposition", </w:t>
      </w:r>
      <w:proofErr w:type="spellStart"/>
      <w:r w:rsidRPr="009B3DFA">
        <w:rPr>
          <w:i/>
        </w:rPr>
        <w:t>Artpress</w:t>
      </w:r>
      <w:proofErr w:type="spellEnd"/>
      <w:r>
        <w:rPr>
          <w:i/>
        </w:rPr>
        <w:t xml:space="preserve">, </w:t>
      </w:r>
      <w:r>
        <w:t>décembre 2013, n°406, Paris, pp.59-61</w:t>
      </w:r>
    </w:p>
  </w:footnote>
  <w:footnote w:id="27">
    <w:p w:rsidR="009B3DFA" w:rsidRPr="00F773DD" w:rsidRDefault="009B3DFA">
      <w:pPr>
        <w:pStyle w:val="Notedebasdepage"/>
      </w:pPr>
      <w:r>
        <w:rPr>
          <w:rStyle w:val="Appelnotedebasdep"/>
        </w:rPr>
        <w:footnoteRef/>
      </w:r>
      <w:r>
        <w:t xml:space="preserve"> Marc-Olivier </w:t>
      </w:r>
      <w:proofErr w:type="spellStart"/>
      <w:r>
        <w:t>Gonseth</w:t>
      </w:r>
      <w:proofErr w:type="spellEnd"/>
      <w:proofErr w:type="gramStart"/>
      <w:r>
        <w:t>,</w:t>
      </w:r>
      <w:r w:rsidR="007E5A89">
        <w:t>,</w:t>
      </w:r>
      <w:proofErr w:type="gramEnd"/>
      <w:r w:rsidR="007E5A89">
        <w:t xml:space="preserve"> </w:t>
      </w:r>
      <w:r>
        <w:t>Bernard</w:t>
      </w:r>
      <w:r w:rsidR="00F773DD">
        <w:t xml:space="preserve"> </w:t>
      </w:r>
      <w:proofErr w:type="spellStart"/>
      <w:r w:rsidR="00F773DD">
        <w:t>Knodel</w:t>
      </w:r>
      <w:proofErr w:type="spellEnd"/>
      <w:r w:rsidR="00F773DD">
        <w:t>,</w:t>
      </w:r>
      <w:r w:rsidR="007E5A89">
        <w:t xml:space="preserve"> Serge </w:t>
      </w:r>
      <w:proofErr w:type="spellStart"/>
      <w:r w:rsidR="007E5A89">
        <w:t>Reubi</w:t>
      </w:r>
      <w:proofErr w:type="spellEnd"/>
      <w:r w:rsidR="007E5A89">
        <w:t>,</w:t>
      </w:r>
      <w:r w:rsidR="00F773DD" w:rsidRPr="00F773DD">
        <w:rPr>
          <w:i/>
        </w:rPr>
        <w:t xml:space="preserve"> Retour d'Angola</w:t>
      </w:r>
      <w:r w:rsidR="00F773DD">
        <w:rPr>
          <w:i/>
        </w:rPr>
        <w:t xml:space="preserve">, </w:t>
      </w:r>
      <w:proofErr w:type="spellStart"/>
      <w:r w:rsidR="00F773DD" w:rsidRPr="00F773DD">
        <w:t>Neufchatel</w:t>
      </w:r>
      <w:proofErr w:type="spellEnd"/>
      <w:r w:rsidR="00700996">
        <w:t xml:space="preserve">, </w:t>
      </w:r>
      <w:r w:rsidR="00F773DD" w:rsidRPr="00F773DD">
        <w:t xml:space="preserve"> </w:t>
      </w:r>
      <w:proofErr w:type="spellStart"/>
      <w:r w:rsidR="00F773DD" w:rsidRPr="00F773DD">
        <w:t>Edt</w:t>
      </w:r>
      <w:proofErr w:type="spellEnd"/>
      <w:r w:rsidR="00F773DD" w:rsidRPr="00F773DD">
        <w:t xml:space="preserve"> du MEN, 2010, 344p.</w:t>
      </w:r>
    </w:p>
  </w:footnote>
  <w:footnote w:id="28">
    <w:p w:rsidR="00F773DD" w:rsidRPr="00F773DD" w:rsidRDefault="00F773DD">
      <w:pPr>
        <w:pStyle w:val="Notedebasdepage"/>
        <w:rPr>
          <w:i/>
        </w:rPr>
      </w:pPr>
      <w:r w:rsidRPr="00F773DD">
        <w:rPr>
          <w:rStyle w:val="Appelnotedebasdep"/>
          <w:i/>
        </w:rPr>
        <w:footnoteRef/>
      </w:r>
      <w:r w:rsidRPr="00F773DD">
        <w:rPr>
          <w:i/>
        </w:rPr>
        <w:t xml:space="preserve"> Ibid.</w:t>
      </w:r>
    </w:p>
  </w:footnote>
  <w:footnote w:id="29">
    <w:p w:rsidR="00F773DD" w:rsidRDefault="00F773DD">
      <w:pPr>
        <w:pStyle w:val="Notedebasdepage"/>
      </w:pPr>
      <w:r>
        <w:rPr>
          <w:rStyle w:val="Appelnotedebasdep"/>
        </w:rPr>
        <w:footnoteRef/>
      </w:r>
      <w:r>
        <w:t xml:space="preserve"> Retour d'Angola, MEN, Google art </w:t>
      </w:r>
      <w:proofErr w:type="spellStart"/>
      <w:r>
        <w:t>project</w:t>
      </w:r>
      <w:proofErr w:type="spellEnd"/>
      <w:r>
        <w:t xml:space="preserve">. </w:t>
      </w:r>
      <w:r w:rsidR="007E5A89">
        <w:t>https://www.google.com/culturalinstitute/asset-viewer/mus%C3%A9e-d-ethnographie-de-neuch</w:t>
      </w:r>
    </w:p>
  </w:footnote>
  <w:footnote w:id="30">
    <w:p w:rsidR="00700996" w:rsidRDefault="00700996">
      <w:pPr>
        <w:pStyle w:val="Notedebasdepage"/>
      </w:pPr>
      <w:r>
        <w:rPr>
          <w:rStyle w:val="Appelnotedebasdep"/>
        </w:rPr>
        <w:footnoteRef/>
      </w:r>
      <w:r>
        <w:t xml:space="preserve"> Maison Rouge, juin 2014.</w:t>
      </w:r>
    </w:p>
  </w:footnote>
  <w:footnote w:id="31">
    <w:p w:rsidR="00700996" w:rsidRPr="00700996" w:rsidRDefault="00700996">
      <w:pPr>
        <w:pStyle w:val="Notedebasdepage"/>
        <w:rPr>
          <w:i/>
        </w:rPr>
      </w:pPr>
      <w:r w:rsidRPr="00700996">
        <w:rPr>
          <w:rStyle w:val="Appelnotedebasdep"/>
          <w:i/>
        </w:rPr>
        <w:footnoteRef/>
      </w:r>
      <w:r w:rsidRPr="00700996">
        <w:rPr>
          <w:i/>
        </w:rPr>
        <w:t xml:space="preserve"> </w:t>
      </w:r>
      <w:proofErr w:type="spellStart"/>
      <w:r w:rsidRPr="00700996">
        <w:rPr>
          <w:i/>
        </w:rPr>
        <w:t>Ibid</w:t>
      </w:r>
      <w:proofErr w:type="spellEnd"/>
    </w:p>
  </w:footnote>
  <w:footnote w:id="32">
    <w:p w:rsidR="00700044" w:rsidRDefault="00700044">
      <w:pPr>
        <w:pStyle w:val="Notedebasdepage"/>
      </w:pPr>
      <w:r>
        <w:rPr>
          <w:rStyle w:val="Appelnotedebasdep"/>
        </w:rPr>
        <w:footnoteRef/>
      </w:r>
      <w:r>
        <w:t xml:space="preserve"> Alain Fleischer, « Se pencher sur les images », </w:t>
      </w:r>
      <w:r w:rsidRPr="00947DE4">
        <w:rPr>
          <w:i/>
        </w:rPr>
        <w:t>Palais,</w:t>
      </w:r>
      <w:r>
        <w:t xml:space="preserve">  magazine du Pala</w:t>
      </w:r>
      <w:r w:rsidR="00700996">
        <w:t xml:space="preserve">is de Tokyo, </w:t>
      </w:r>
      <w:proofErr w:type="gramStart"/>
      <w:r w:rsidR="00700996">
        <w:t>opus.cit.,</w:t>
      </w:r>
      <w:proofErr w:type="gramEnd"/>
      <w:r w:rsidR="00700996">
        <w:t xml:space="preserve"> 2014, </w:t>
      </w:r>
      <w:proofErr w:type="spellStart"/>
      <w:r w:rsidR="00700996">
        <w:t>cit.</w:t>
      </w:r>
      <w:r w:rsidR="00947DE4">
        <w:t>p</w:t>
      </w:r>
      <w:proofErr w:type="spellEnd"/>
      <w:r w:rsidR="00700996">
        <w:t xml:space="preserve"> 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26" w:rsidRDefault="009618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26" w:rsidRDefault="0096182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26" w:rsidRDefault="009618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5"/>
    <w:rsid w:val="000178D2"/>
    <w:rsid w:val="00026011"/>
    <w:rsid w:val="00032603"/>
    <w:rsid w:val="0008489C"/>
    <w:rsid w:val="000B5EC0"/>
    <w:rsid w:val="000C29A9"/>
    <w:rsid w:val="000F1BDE"/>
    <w:rsid w:val="000F24FE"/>
    <w:rsid w:val="00121987"/>
    <w:rsid w:val="001234DC"/>
    <w:rsid w:val="001352AF"/>
    <w:rsid w:val="00152BD5"/>
    <w:rsid w:val="0017139F"/>
    <w:rsid w:val="001740E9"/>
    <w:rsid w:val="00187300"/>
    <w:rsid w:val="001907E5"/>
    <w:rsid w:val="001954F9"/>
    <w:rsid w:val="00211795"/>
    <w:rsid w:val="00214111"/>
    <w:rsid w:val="00222230"/>
    <w:rsid w:val="00254B3F"/>
    <w:rsid w:val="002622E3"/>
    <w:rsid w:val="00275A3D"/>
    <w:rsid w:val="002A6912"/>
    <w:rsid w:val="002A739A"/>
    <w:rsid w:val="002C309C"/>
    <w:rsid w:val="00303CFD"/>
    <w:rsid w:val="00337E2D"/>
    <w:rsid w:val="00340FFB"/>
    <w:rsid w:val="00356F2B"/>
    <w:rsid w:val="00382309"/>
    <w:rsid w:val="00383EFA"/>
    <w:rsid w:val="00392F7A"/>
    <w:rsid w:val="00396FDE"/>
    <w:rsid w:val="003B5F50"/>
    <w:rsid w:val="003C5FBF"/>
    <w:rsid w:val="003C78C1"/>
    <w:rsid w:val="003F3142"/>
    <w:rsid w:val="003F6543"/>
    <w:rsid w:val="00420367"/>
    <w:rsid w:val="0044679B"/>
    <w:rsid w:val="004676E4"/>
    <w:rsid w:val="00470EB3"/>
    <w:rsid w:val="00472BCF"/>
    <w:rsid w:val="004A624E"/>
    <w:rsid w:val="004C756B"/>
    <w:rsid w:val="004E3D29"/>
    <w:rsid w:val="004F5840"/>
    <w:rsid w:val="00502624"/>
    <w:rsid w:val="00512DD1"/>
    <w:rsid w:val="005146CD"/>
    <w:rsid w:val="0055315B"/>
    <w:rsid w:val="00562E72"/>
    <w:rsid w:val="00594C47"/>
    <w:rsid w:val="005A4E3A"/>
    <w:rsid w:val="005A605C"/>
    <w:rsid w:val="005B0BC1"/>
    <w:rsid w:val="00604735"/>
    <w:rsid w:val="0061656E"/>
    <w:rsid w:val="006202A6"/>
    <w:rsid w:val="00664C31"/>
    <w:rsid w:val="006722B8"/>
    <w:rsid w:val="00686A0E"/>
    <w:rsid w:val="006876BF"/>
    <w:rsid w:val="006E43A0"/>
    <w:rsid w:val="00700044"/>
    <w:rsid w:val="00700996"/>
    <w:rsid w:val="00724ED8"/>
    <w:rsid w:val="00726F12"/>
    <w:rsid w:val="00754CE8"/>
    <w:rsid w:val="007642BA"/>
    <w:rsid w:val="007652F0"/>
    <w:rsid w:val="00785315"/>
    <w:rsid w:val="007A5FE4"/>
    <w:rsid w:val="007C56B0"/>
    <w:rsid w:val="007E0AC0"/>
    <w:rsid w:val="007E5A89"/>
    <w:rsid w:val="007F76C4"/>
    <w:rsid w:val="0080195E"/>
    <w:rsid w:val="008257B1"/>
    <w:rsid w:val="008307F2"/>
    <w:rsid w:val="00832D51"/>
    <w:rsid w:val="00836988"/>
    <w:rsid w:val="00845C8F"/>
    <w:rsid w:val="00855C55"/>
    <w:rsid w:val="00870EDB"/>
    <w:rsid w:val="008A6C0B"/>
    <w:rsid w:val="008B3C1F"/>
    <w:rsid w:val="008B3E73"/>
    <w:rsid w:val="008F41DE"/>
    <w:rsid w:val="00906693"/>
    <w:rsid w:val="00913B05"/>
    <w:rsid w:val="00947DE4"/>
    <w:rsid w:val="00961826"/>
    <w:rsid w:val="00967AF0"/>
    <w:rsid w:val="009815F6"/>
    <w:rsid w:val="009A30E0"/>
    <w:rsid w:val="009B3DFA"/>
    <w:rsid w:val="009D355F"/>
    <w:rsid w:val="009D5E7E"/>
    <w:rsid w:val="009D61D4"/>
    <w:rsid w:val="009F0BCA"/>
    <w:rsid w:val="00A05329"/>
    <w:rsid w:val="00A1427A"/>
    <w:rsid w:val="00A45577"/>
    <w:rsid w:val="00A746B5"/>
    <w:rsid w:val="00A761E7"/>
    <w:rsid w:val="00AB0D33"/>
    <w:rsid w:val="00AC7E00"/>
    <w:rsid w:val="00AD4EE9"/>
    <w:rsid w:val="00AD7DBA"/>
    <w:rsid w:val="00B0792C"/>
    <w:rsid w:val="00B1000C"/>
    <w:rsid w:val="00B1048A"/>
    <w:rsid w:val="00B4686D"/>
    <w:rsid w:val="00B67C86"/>
    <w:rsid w:val="00B76722"/>
    <w:rsid w:val="00B81BE1"/>
    <w:rsid w:val="00B948A3"/>
    <w:rsid w:val="00BC5068"/>
    <w:rsid w:val="00BD4D04"/>
    <w:rsid w:val="00BE4DD9"/>
    <w:rsid w:val="00C15D90"/>
    <w:rsid w:val="00C54C15"/>
    <w:rsid w:val="00C65F0E"/>
    <w:rsid w:val="00C7641D"/>
    <w:rsid w:val="00CC310F"/>
    <w:rsid w:val="00CC4B6F"/>
    <w:rsid w:val="00CE6ACB"/>
    <w:rsid w:val="00CF691F"/>
    <w:rsid w:val="00D205D0"/>
    <w:rsid w:val="00D332F4"/>
    <w:rsid w:val="00D52745"/>
    <w:rsid w:val="00D71425"/>
    <w:rsid w:val="00DC0059"/>
    <w:rsid w:val="00DE3471"/>
    <w:rsid w:val="00E20218"/>
    <w:rsid w:val="00E52647"/>
    <w:rsid w:val="00E7626D"/>
    <w:rsid w:val="00E83C48"/>
    <w:rsid w:val="00E94092"/>
    <w:rsid w:val="00E9790B"/>
    <w:rsid w:val="00EE36B3"/>
    <w:rsid w:val="00EE4FEB"/>
    <w:rsid w:val="00F042DE"/>
    <w:rsid w:val="00F1231C"/>
    <w:rsid w:val="00F46FC5"/>
    <w:rsid w:val="00F51060"/>
    <w:rsid w:val="00F51AA4"/>
    <w:rsid w:val="00F57143"/>
    <w:rsid w:val="00F663D5"/>
    <w:rsid w:val="00F74293"/>
    <w:rsid w:val="00F773DD"/>
    <w:rsid w:val="00F774CD"/>
    <w:rsid w:val="00F83C3D"/>
    <w:rsid w:val="00F9522C"/>
    <w:rsid w:val="00FA0E1B"/>
    <w:rsid w:val="00FC0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100" w:after="100" w:line="240" w:lineRule="auto"/>
      <w:ind w:firstLine="284"/>
      <w:jc w:val="both"/>
    </w:pPr>
    <w:rPr>
      <w:rFonts w:ascii="Quattrocento" w:eastAsia="Quattrocento" w:hAnsi="Quattrocento" w:cs="Quattrocento"/>
      <w:color w:val="000000"/>
    </w:rPr>
  </w:style>
  <w:style w:type="paragraph" w:styleId="Titre1">
    <w:name w:val="heading 1"/>
    <w:basedOn w:val="Normal"/>
    <w:next w:val="Normal"/>
    <w:pPr>
      <w:spacing w:before="240" w:after="60"/>
      <w:ind w:left="432" w:hanging="430"/>
      <w:outlineLvl w:val="0"/>
    </w:pPr>
    <w:rPr>
      <w:rFonts w:ascii="Arial" w:eastAsia="Arial" w:hAnsi="Arial" w:cs="Arial"/>
      <w:b/>
      <w:sz w:val="32"/>
    </w:rPr>
  </w:style>
  <w:style w:type="paragraph" w:styleId="Titre2">
    <w:name w:val="heading 2"/>
    <w:basedOn w:val="Normal"/>
    <w:next w:val="Normal"/>
    <w:pPr>
      <w:spacing w:before="360" w:after="80"/>
      <w:outlineLvl w:val="1"/>
    </w:pPr>
    <w:rPr>
      <w:b/>
      <w:sz w:val="36"/>
    </w:rPr>
  </w:style>
  <w:style w:type="paragraph" w:styleId="Titre3">
    <w:name w:val="heading 3"/>
    <w:basedOn w:val="Normal"/>
    <w:next w:val="Normal"/>
    <w:pPr>
      <w:spacing w:before="280" w:after="80"/>
      <w:outlineLvl w:val="2"/>
    </w:pPr>
    <w:rPr>
      <w:b/>
      <w:sz w:val="28"/>
    </w:rPr>
  </w:style>
  <w:style w:type="paragraph" w:styleId="Titre4">
    <w:name w:val="heading 4"/>
    <w:basedOn w:val="Normal"/>
    <w:next w:val="Normal"/>
    <w:pPr>
      <w:spacing w:before="240" w:after="60"/>
      <w:ind w:left="864" w:hanging="862"/>
      <w:outlineLvl w:val="3"/>
    </w:pPr>
    <w:rPr>
      <w:rFonts w:ascii="Times New Roman" w:eastAsia="Times New Roman" w:hAnsi="Times New Roman" w:cs="Times New Roman"/>
      <w:b/>
      <w:sz w:val="28"/>
    </w:rPr>
  </w:style>
  <w:style w:type="paragraph" w:styleId="Titre5">
    <w:name w:val="heading 5"/>
    <w:basedOn w:val="Normal"/>
    <w:next w:val="Normal"/>
    <w:pPr>
      <w:spacing w:before="220" w:after="40"/>
      <w:outlineLvl w:val="4"/>
    </w:pPr>
    <w:rPr>
      <w:b/>
    </w:rPr>
  </w:style>
  <w:style w:type="paragraph" w:styleId="Titre6">
    <w:name w:val="heading 6"/>
    <w:basedOn w:val="Normal"/>
    <w:next w:val="Normal"/>
    <w:pPr>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spacing w:before="480" w:after="120"/>
    </w:pPr>
    <w:rPr>
      <w:b/>
      <w:sz w:val="72"/>
    </w:rPr>
  </w:style>
  <w:style w:type="paragraph" w:styleId="Sous-titre">
    <w:name w:val="Subtitle"/>
    <w:basedOn w:val="Normal"/>
    <w:next w:val="Normal"/>
    <w:pPr>
      <w:spacing w:before="360" w:after="80"/>
    </w:pPr>
    <w:rPr>
      <w:rFonts w:ascii="Georgia" w:eastAsia="Georgia" w:hAnsi="Georgia" w:cs="Georgia"/>
      <w:i/>
      <w:color w:val="666666"/>
      <w:sz w:val="48"/>
    </w:rPr>
  </w:style>
  <w:style w:type="paragraph" w:styleId="Notedebasdepage">
    <w:name w:val="footnote text"/>
    <w:basedOn w:val="Normal"/>
    <w:link w:val="NotedebasdepageCar"/>
    <w:uiPriority w:val="99"/>
    <w:semiHidden/>
    <w:unhideWhenUsed/>
    <w:rsid w:val="00D332F4"/>
    <w:pPr>
      <w:spacing w:before="0" w:after="0"/>
    </w:pPr>
    <w:rPr>
      <w:sz w:val="20"/>
      <w:szCs w:val="20"/>
    </w:rPr>
  </w:style>
  <w:style w:type="character" w:customStyle="1" w:styleId="NotedebasdepageCar">
    <w:name w:val="Note de bas de page Car"/>
    <w:basedOn w:val="Policepardfaut"/>
    <w:link w:val="Notedebasdepage"/>
    <w:uiPriority w:val="99"/>
    <w:semiHidden/>
    <w:rsid w:val="00D332F4"/>
    <w:rPr>
      <w:rFonts w:ascii="Quattrocento" w:eastAsia="Quattrocento" w:hAnsi="Quattrocento" w:cs="Quattrocento"/>
      <w:color w:val="000000"/>
      <w:sz w:val="20"/>
      <w:szCs w:val="20"/>
    </w:rPr>
  </w:style>
  <w:style w:type="character" w:styleId="Appelnotedebasdep">
    <w:name w:val="footnote reference"/>
    <w:basedOn w:val="Policepardfaut"/>
    <w:uiPriority w:val="99"/>
    <w:semiHidden/>
    <w:unhideWhenUsed/>
    <w:rsid w:val="00D332F4"/>
    <w:rPr>
      <w:vertAlign w:val="superscript"/>
    </w:rPr>
  </w:style>
  <w:style w:type="paragraph" w:styleId="En-tte">
    <w:name w:val="header"/>
    <w:basedOn w:val="Normal"/>
    <w:link w:val="En-tteCar"/>
    <w:uiPriority w:val="99"/>
    <w:unhideWhenUsed/>
    <w:rsid w:val="00961826"/>
    <w:pPr>
      <w:tabs>
        <w:tab w:val="center" w:pos="4536"/>
        <w:tab w:val="right" w:pos="9072"/>
      </w:tabs>
      <w:spacing w:before="0" w:after="0"/>
    </w:pPr>
  </w:style>
  <w:style w:type="character" w:customStyle="1" w:styleId="En-tteCar">
    <w:name w:val="En-tête Car"/>
    <w:basedOn w:val="Policepardfaut"/>
    <w:link w:val="En-tte"/>
    <w:uiPriority w:val="99"/>
    <w:rsid w:val="00961826"/>
    <w:rPr>
      <w:rFonts w:ascii="Quattrocento" w:eastAsia="Quattrocento" w:hAnsi="Quattrocento" w:cs="Quattrocento"/>
      <w:color w:val="000000"/>
    </w:rPr>
  </w:style>
  <w:style w:type="paragraph" w:styleId="Pieddepage">
    <w:name w:val="footer"/>
    <w:basedOn w:val="Normal"/>
    <w:link w:val="PieddepageCar"/>
    <w:uiPriority w:val="99"/>
    <w:unhideWhenUsed/>
    <w:rsid w:val="00961826"/>
    <w:pPr>
      <w:tabs>
        <w:tab w:val="center" w:pos="4536"/>
        <w:tab w:val="right" w:pos="9072"/>
      </w:tabs>
      <w:spacing w:before="0" w:after="0"/>
    </w:pPr>
  </w:style>
  <w:style w:type="character" w:customStyle="1" w:styleId="PieddepageCar">
    <w:name w:val="Pied de page Car"/>
    <w:basedOn w:val="Policepardfaut"/>
    <w:link w:val="Pieddepage"/>
    <w:uiPriority w:val="99"/>
    <w:rsid w:val="00961826"/>
    <w:rPr>
      <w:rFonts w:ascii="Quattrocento" w:eastAsia="Quattrocento" w:hAnsi="Quattrocento" w:cs="Quattrocent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100" w:after="100" w:line="240" w:lineRule="auto"/>
      <w:ind w:firstLine="284"/>
      <w:jc w:val="both"/>
    </w:pPr>
    <w:rPr>
      <w:rFonts w:ascii="Quattrocento" w:eastAsia="Quattrocento" w:hAnsi="Quattrocento" w:cs="Quattrocento"/>
      <w:color w:val="000000"/>
    </w:rPr>
  </w:style>
  <w:style w:type="paragraph" w:styleId="Titre1">
    <w:name w:val="heading 1"/>
    <w:basedOn w:val="Normal"/>
    <w:next w:val="Normal"/>
    <w:pPr>
      <w:spacing w:before="240" w:after="60"/>
      <w:ind w:left="432" w:hanging="430"/>
      <w:outlineLvl w:val="0"/>
    </w:pPr>
    <w:rPr>
      <w:rFonts w:ascii="Arial" w:eastAsia="Arial" w:hAnsi="Arial" w:cs="Arial"/>
      <w:b/>
      <w:sz w:val="32"/>
    </w:rPr>
  </w:style>
  <w:style w:type="paragraph" w:styleId="Titre2">
    <w:name w:val="heading 2"/>
    <w:basedOn w:val="Normal"/>
    <w:next w:val="Normal"/>
    <w:pPr>
      <w:spacing w:before="360" w:after="80"/>
      <w:outlineLvl w:val="1"/>
    </w:pPr>
    <w:rPr>
      <w:b/>
      <w:sz w:val="36"/>
    </w:rPr>
  </w:style>
  <w:style w:type="paragraph" w:styleId="Titre3">
    <w:name w:val="heading 3"/>
    <w:basedOn w:val="Normal"/>
    <w:next w:val="Normal"/>
    <w:pPr>
      <w:spacing w:before="280" w:after="80"/>
      <w:outlineLvl w:val="2"/>
    </w:pPr>
    <w:rPr>
      <w:b/>
      <w:sz w:val="28"/>
    </w:rPr>
  </w:style>
  <w:style w:type="paragraph" w:styleId="Titre4">
    <w:name w:val="heading 4"/>
    <w:basedOn w:val="Normal"/>
    <w:next w:val="Normal"/>
    <w:pPr>
      <w:spacing w:before="240" w:after="60"/>
      <w:ind w:left="864" w:hanging="862"/>
      <w:outlineLvl w:val="3"/>
    </w:pPr>
    <w:rPr>
      <w:rFonts w:ascii="Times New Roman" w:eastAsia="Times New Roman" w:hAnsi="Times New Roman" w:cs="Times New Roman"/>
      <w:b/>
      <w:sz w:val="28"/>
    </w:rPr>
  </w:style>
  <w:style w:type="paragraph" w:styleId="Titre5">
    <w:name w:val="heading 5"/>
    <w:basedOn w:val="Normal"/>
    <w:next w:val="Normal"/>
    <w:pPr>
      <w:spacing w:before="220" w:after="40"/>
      <w:outlineLvl w:val="4"/>
    </w:pPr>
    <w:rPr>
      <w:b/>
    </w:rPr>
  </w:style>
  <w:style w:type="paragraph" w:styleId="Titre6">
    <w:name w:val="heading 6"/>
    <w:basedOn w:val="Normal"/>
    <w:next w:val="Normal"/>
    <w:pPr>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spacing w:before="480" w:after="120"/>
    </w:pPr>
    <w:rPr>
      <w:b/>
      <w:sz w:val="72"/>
    </w:rPr>
  </w:style>
  <w:style w:type="paragraph" w:styleId="Sous-titre">
    <w:name w:val="Subtitle"/>
    <w:basedOn w:val="Normal"/>
    <w:next w:val="Normal"/>
    <w:pPr>
      <w:spacing w:before="360" w:after="80"/>
    </w:pPr>
    <w:rPr>
      <w:rFonts w:ascii="Georgia" w:eastAsia="Georgia" w:hAnsi="Georgia" w:cs="Georgia"/>
      <w:i/>
      <w:color w:val="666666"/>
      <w:sz w:val="48"/>
    </w:rPr>
  </w:style>
  <w:style w:type="paragraph" w:styleId="Notedebasdepage">
    <w:name w:val="footnote text"/>
    <w:basedOn w:val="Normal"/>
    <w:link w:val="NotedebasdepageCar"/>
    <w:uiPriority w:val="99"/>
    <w:semiHidden/>
    <w:unhideWhenUsed/>
    <w:rsid w:val="00D332F4"/>
    <w:pPr>
      <w:spacing w:before="0" w:after="0"/>
    </w:pPr>
    <w:rPr>
      <w:sz w:val="20"/>
      <w:szCs w:val="20"/>
    </w:rPr>
  </w:style>
  <w:style w:type="character" w:customStyle="1" w:styleId="NotedebasdepageCar">
    <w:name w:val="Note de bas de page Car"/>
    <w:basedOn w:val="Policepardfaut"/>
    <w:link w:val="Notedebasdepage"/>
    <w:uiPriority w:val="99"/>
    <w:semiHidden/>
    <w:rsid w:val="00D332F4"/>
    <w:rPr>
      <w:rFonts w:ascii="Quattrocento" w:eastAsia="Quattrocento" w:hAnsi="Quattrocento" w:cs="Quattrocento"/>
      <w:color w:val="000000"/>
      <w:sz w:val="20"/>
      <w:szCs w:val="20"/>
    </w:rPr>
  </w:style>
  <w:style w:type="character" w:styleId="Appelnotedebasdep">
    <w:name w:val="footnote reference"/>
    <w:basedOn w:val="Policepardfaut"/>
    <w:uiPriority w:val="99"/>
    <w:semiHidden/>
    <w:unhideWhenUsed/>
    <w:rsid w:val="00D332F4"/>
    <w:rPr>
      <w:vertAlign w:val="superscript"/>
    </w:rPr>
  </w:style>
  <w:style w:type="paragraph" w:styleId="En-tte">
    <w:name w:val="header"/>
    <w:basedOn w:val="Normal"/>
    <w:link w:val="En-tteCar"/>
    <w:uiPriority w:val="99"/>
    <w:unhideWhenUsed/>
    <w:rsid w:val="00961826"/>
    <w:pPr>
      <w:tabs>
        <w:tab w:val="center" w:pos="4536"/>
        <w:tab w:val="right" w:pos="9072"/>
      </w:tabs>
      <w:spacing w:before="0" w:after="0"/>
    </w:pPr>
  </w:style>
  <w:style w:type="character" w:customStyle="1" w:styleId="En-tteCar">
    <w:name w:val="En-tête Car"/>
    <w:basedOn w:val="Policepardfaut"/>
    <w:link w:val="En-tte"/>
    <w:uiPriority w:val="99"/>
    <w:rsid w:val="00961826"/>
    <w:rPr>
      <w:rFonts w:ascii="Quattrocento" w:eastAsia="Quattrocento" w:hAnsi="Quattrocento" w:cs="Quattrocento"/>
      <w:color w:val="000000"/>
    </w:rPr>
  </w:style>
  <w:style w:type="paragraph" w:styleId="Pieddepage">
    <w:name w:val="footer"/>
    <w:basedOn w:val="Normal"/>
    <w:link w:val="PieddepageCar"/>
    <w:uiPriority w:val="99"/>
    <w:unhideWhenUsed/>
    <w:rsid w:val="00961826"/>
    <w:pPr>
      <w:tabs>
        <w:tab w:val="center" w:pos="4536"/>
        <w:tab w:val="right" w:pos="9072"/>
      </w:tabs>
      <w:spacing w:before="0" w:after="0"/>
    </w:pPr>
  </w:style>
  <w:style w:type="character" w:customStyle="1" w:styleId="PieddepageCar">
    <w:name w:val="Pied de page Car"/>
    <w:basedOn w:val="Policepardfaut"/>
    <w:link w:val="Pieddepage"/>
    <w:uiPriority w:val="99"/>
    <w:rsid w:val="00961826"/>
    <w:rPr>
      <w:rFonts w:ascii="Quattrocento" w:eastAsia="Quattrocento" w:hAnsi="Quattrocento" w:cs="Quattrocen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3A0B-97EA-4B2F-8DD9-25450E54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5383</Words>
  <Characters>29609</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ColloquedeToulon4-5-6juin2014Propositiondecommunication.docx.docx.docx</vt:lpstr>
    </vt:vector>
  </TitlesOfParts>
  <Company>Hewlett-Packard</Company>
  <LinksUpToDate>false</LinksUpToDate>
  <CharactersWithSpaces>34923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ColloquedeToulon4-5-6juin2014Propositiondecommunication.docx.docx.docx</dc:title>
  <dc:creator>Nicole</dc:creator>
  <cp:lastModifiedBy>Nicole</cp:lastModifiedBy>
  <cp:revision>2</cp:revision>
  <dcterms:created xsi:type="dcterms:W3CDTF">2014-05-02T03:00:00Z</dcterms:created>
  <dcterms:modified xsi:type="dcterms:W3CDTF">2014-05-02T03:00:00Z</dcterms:modified>
</cp:coreProperties>
</file>